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关于发放2019年度哲学社会科学类横向科研项目绩效奖励的通知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30"/>
          <w:szCs w:val="30"/>
        </w:rPr>
        <w:t>各相关学院、部门：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根据《扬州大学哲学社会科学类项目经费管理办法（修订）》 （扬大社科[2019] 5号）文件精神，对于2019年已结题的横向科研项目，经费余额可全部用于项目组成员的绩效奖励，由项目负责人自主分配。现将有关事项通知如下。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1.绩效发放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项目负责人需填写《扬州大学文科横向科研项目结题申请表》（附件1）和《扬州大学文科横向科研项目绩效奖励提取审批表》（附件2），经学院和人文社科处审核确认后，在学校薪酬发放申请系统中自行预约，将预约单和《审批表》一同提交财务处核准发放，并统一纳税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2.绩效奖励的提取并非强制性，项目负责人可以放弃绩效奖励，将经费余额用于项目的后续研究。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请各学院于2019年12月26日前，将《扬州大学文科横向科研项目结题申请表》（1份）和《扬州大学文科横向科研项目绩效奖励提取审批表》（一式2份）集中送交人文社科处。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Fonts w:hint="eastAsia" w:ascii="宋体" w:hAnsi="宋体" w:eastAsia="宋体" w:cs="宋体"/>
          <w:sz w:val="30"/>
          <w:szCs w:val="30"/>
        </w:rPr>
        <w:t>联系人：吕淑青，联系电话：87978920。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附件1：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u w:val="none"/>
        </w:rPr>
        <w:t>《扬州大学文科横向科研项目结题申请表》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Fonts w:hint="eastAsia" w:ascii="宋体" w:hAnsi="宋体" w:eastAsia="宋体" w:cs="宋体"/>
          <w:caps w:val="0"/>
          <w:color w:val="000000"/>
          <w:spacing w:val="0"/>
          <w:sz w:val="27"/>
          <w:szCs w:val="27"/>
          <w:u w:val="none"/>
        </w:rPr>
        <w:t>附件2：《扬州大学文科横向科研项目绩效奖励提取审批表》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30"/>
          <w:szCs w:val="30"/>
        </w:rPr>
        <w:t> 　　　　　　　　　　                           人文社科处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                      2019年12月10日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edui-clickable"/>
    <w:basedOn w:val="4"/>
    <w:uiPriority w:val="0"/>
    <w:rPr>
      <w:color w:val="0000FF"/>
      <w:u w:val="single"/>
      <w:bdr w:val="single" w:color="CCCCCC" w:sz="6" w:space="0"/>
      <w:shd w:val="clear" w:fill="FFFFFF"/>
    </w:rPr>
  </w:style>
  <w:style w:type="character" w:customStyle="1" w:styleId="8">
    <w:name w:val="ui-icon"/>
    <w:basedOn w:val="4"/>
    <w:uiPriority w:val="0"/>
  </w:style>
  <w:style w:type="character" w:customStyle="1" w:styleId="9">
    <w:name w:val="post-date"/>
    <w:basedOn w:val="4"/>
    <w:uiPriority w:val="0"/>
    <w:rPr>
      <w:color w:val="555555"/>
      <w:sz w:val="16"/>
      <w:szCs w:val="16"/>
    </w:rPr>
  </w:style>
  <w:style w:type="character" w:customStyle="1" w:styleId="10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2019-12-10T08:05:31Z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