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0857F" w14:textId="77777777" w:rsidR="00016267" w:rsidRPr="00EE5520" w:rsidRDefault="00016267" w:rsidP="00016267">
      <w:pPr>
        <w:jc w:val="center"/>
        <w:rPr>
          <w:rFonts w:asciiTheme="minorEastAsia" w:hAnsiTheme="minorEastAsia"/>
          <w:sz w:val="28"/>
          <w:szCs w:val="28"/>
        </w:rPr>
      </w:pPr>
      <w:bookmarkStart w:id="0" w:name="_GoBack"/>
      <w:bookmarkEnd w:id="0"/>
      <w:r w:rsidRPr="00EE5520">
        <w:rPr>
          <w:rFonts w:asciiTheme="minorEastAsia" w:hAnsiTheme="minorEastAsia" w:hint="eastAsia"/>
          <w:sz w:val="28"/>
          <w:szCs w:val="28"/>
        </w:rPr>
        <w:t>关于组织申报</w:t>
      </w:r>
      <w:r w:rsidRPr="00EE5520">
        <w:rPr>
          <w:rFonts w:asciiTheme="minorEastAsia" w:hAnsiTheme="minorEastAsia"/>
          <w:sz w:val="28"/>
          <w:szCs w:val="28"/>
        </w:rPr>
        <w:t>国家社科基金国家应急管理体系建设研究专项</w:t>
      </w:r>
      <w:r w:rsidRPr="00EE5520">
        <w:rPr>
          <w:rFonts w:asciiTheme="minorEastAsia" w:hAnsiTheme="minorEastAsia" w:hint="eastAsia"/>
          <w:sz w:val="28"/>
          <w:szCs w:val="28"/>
        </w:rPr>
        <w:t>的通知</w:t>
      </w:r>
    </w:p>
    <w:p w14:paraId="17BE0E18" w14:textId="77777777" w:rsidR="005B194D" w:rsidRPr="00EE5520" w:rsidRDefault="00016267">
      <w:pPr>
        <w:rPr>
          <w:rFonts w:asciiTheme="minorEastAsia" w:hAnsiTheme="minorEastAsia"/>
          <w:sz w:val="28"/>
          <w:szCs w:val="28"/>
        </w:rPr>
      </w:pPr>
      <w:r w:rsidRPr="00EE5520">
        <w:rPr>
          <w:rFonts w:asciiTheme="minorEastAsia" w:hAnsiTheme="minorEastAsia" w:hint="eastAsia"/>
          <w:sz w:val="28"/>
          <w:szCs w:val="28"/>
        </w:rPr>
        <w:t>各相关学院、部门：</w:t>
      </w:r>
    </w:p>
    <w:p w14:paraId="712F7A2B"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经全国哲学社会科学工作领导小组批准，国家社科基金设立国家应急管理体系建设研究专项，组织国家高端智库、社科界专家学者，重点围绕国家应急管理体系建设特别是健全公共卫生应急管理体系进行深入研究，及时推出高质量成果。现将本研究专项申报的有关事项</w:t>
      </w:r>
      <w:r w:rsidR="00EE5520">
        <w:rPr>
          <w:rFonts w:asciiTheme="minorEastAsia" w:hAnsiTheme="minorEastAsia" w:hint="eastAsia"/>
          <w:sz w:val="28"/>
          <w:szCs w:val="28"/>
        </w:rPr>
        <w:t>通知</w:t>
      </w:r>
      <w:r w:rsidRPr="00EE5520">
        <w:rPr>
          <w:rFonts w:asciiTheme="minorEastAsia" w:hAnsiTheme="minorEastAsia"/>
          <w:sz w:val="28"/>
          <w:szCs w:val="28"/>
        </w:rPr>
        <w:t>如下。</w:t>
      </w:r>
    </w:p>
    <w:p w14:paraId="456EC074"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一、指导思想</w:t>
      </w:r>
    </w:p>
    <w:p w14:paraId="44D9ED4B"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认真贯彻落实习近平总书记近期关于防控新冠肺炎疫情的一系列重要讲话精神和在中央政治局第十九次集体学习时关于国家应急管理体系和能力建设的重要指示精神，坚持放眼长远、总结经验、吸取教训，切实面向决策需求、增强问题意识，做到精准破题、有效解题，围绕相关基础理论问题、法律法规问题、制度体系问题、体制机制问题组织开展研究，为提高防控应对重大疫情、防范化解重大安全风险、应对处置各类灾害事故等重大突发事件的能力水平提供理论支撑和智力支持。</w:t>
      </w:r>
    </w:p>
    <w:p w14:paraId="77713733"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二、重点选题方向</w:t>
      </w:r>
    </w:p>
    <w:p w14:paraId="4D5FA161"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本研究专项共发布38个重点选题方向。申请人可根据选题方向，进一步聚焦关键问题，设计具体申报题目。</w:t>
      </w:r>
    </w:p>
    <w:p w14:paraId="68BED7D5"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 新中国成立以来应对重大突发事件的实践和经验研究</w:t>
      </w:r>
    </w:p>
    <w:p w14:paraId="7C6AFF29"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2. 我国在应对重大突发事件上的制度优势和国际比较研究</w:t>
      </w:r>
    </w:p>
    <w:p w14:paraId="2FCBC09B"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3. 我国坚持党的集中统一领导应对重大突发事件的制度经验研</w:t>
      </w:r>
      <w:r w:rsidRPr="00EE5520">
        <w:rPr>
          <w:rFonts w:asciiTheme="minorEastAsia" w:hAnsiTheme="minorEastAsia"/>
          <w:sz w:val="28"/>
          <w:szCs w:val="28"/>
        </w:rPr>
        <w:lastRenderedPageBreak/>
        <w:t>究</w:t>
      </w:r>
    </w:p>
    <w:p w14:paraId="36A8C5C3"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4. 我国在应对重大突发事件中体现出的伟大民族精神研究</w:t>
      </w:r>
    </w:p>
    <w:p w14:paraId="03B7A050"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5. 我国历史上应对重大自然灾害的经验与启示研究</w:t>
      </w:r>
    </w:p>
    <w:p w14:paraId="368DC1B4"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6. 围绕成功应对重大突发事件讲好中国故事、发出中国声音研究</w:t>
      </w:r>
    </w:p>
    <w:p w14:paraId="774CE968"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7. 在应对重大突发事件中广泛动员群众、组织群众、凝聚群众研究</w:t>
      </w:r>
    </w:p>
    <w:p w14:paraId="5CA344DF"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8. 提高领导干部应对重大突发事件能力研究</w:t>
      </w:r>
    </w:p>
    <w:p w14:paraId="7E961638"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9. 健全中国特色应急管理体制研究</w:t>
      </w:r>
    </w:p>
    <w:p w14:paraId="5EDF622B"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10. 重特大突发事件应急指挥体系研究</w:t>
      </w:r>
    </w:p>
    <w:p w14:paraId="3AC60754"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11. 提升城市重大突发事件综合应急管理能力研究</w:t>
      </w:r>
    </w:p>
    <w:p w14:paraId="5A13F715"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12. 提高国家综合应急救援能力研究</w:t>
      </w:r>
    </w:p>
    <w:p w14:paraId="4AFACB1A"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13. 跨地区协同处置重大突发事件机制研究</w:t>
      </w:r>
    </w:p>
    <w:p w14:paraId="124E828F"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14. 军地协同处置重大突发事件应急管理研究</w:t>
      </w:r>
    </w:p>
    <w:p w14:paraId="68F360D1"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15. 社会力量参与重大突发事件应急管理的机制研究</w:t>
      </w:r>
    </w:p>
    <w:p w14:paraId="5BD62CF5"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16. 基层社区在突发事件防范与应对中的角色定位及能力建设研究</w:t>
      </w:r>
    </w:p>
    <w:p w14:paraId="42879695"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17. 重大突发事件中的国际合作研究</w:t>
      </w:r>
    </w:p>
    <w:p w14:paraId="66A8BB54"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18. 重大突发事件中的舆论传播及引导研究</w:t>
      </w:r>
    </w:p>
    <w:p w14:paraId="72276040"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19. 重大突发事件中的心理危机干预机制研究</w:t>
      </w:r>
    </w:p>
    <w:p w14:paraId="6BA4762D"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20. 重大突发事件中的社会矛盾防范与化解研究</w:t>
      </w:r>
    </w:p>
    <w:p w14:paraId="1F56912A"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21. 提升公众公共安全意识和自救互救能力的有效途径研究</w:t>
      </w:r>
    </w:p>
    <w:p w14:paraId="570BB2A0"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lastRenderedPageBreak/>
        <w:t>22. 增强应对重大突发事件中的依法治理能力研究</w:t>
      </w:r>
    </w:p>
    <w:p w14:paraId="76D09111"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23. 强化公共卫生法治保障研究</w:t>
      </w:r>
    </w:p>
    <w:p w14:paraId="3A5A3D6D"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24. 国家生物安全风险防控和治理体系建设研究</w:t>
      </w:r>
    </w:p>
    <w:p w14:paraId="32F34901"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25. 国家生物安全法律法规体系、制度保障体系研究</w:t>
      </w:r>
    </w:p>
    <w:p w14:paraId="3A446D00"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26. 改革完善疾病预防控制体系研究</w:t>
      </w:r>
    </w:p>
    <w:p w14:paraId="6E167755"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27. 加强公共卫生队伍建设研究</w:t>
      </w:r>
    </w:p>
    <w:p w14:paraId="6EECEC04"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28. 加强农村、社区等基层公共卫生防控能力建设研究</w:t>
      </w:r>
    </w:p>
    <w:p w14:paraId="12274446"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29. 推动公共卫生服务与医疗服务高效协同研究</w:t>
      </w:r>
    </w:p>
    <w:p w14:paraId="0772FDC9"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30. 提升应对重大公共卫生突发事件中的科技支撑能力研究</w:t>
      </w:r>
    </w:p>
    <w:p w14:paraId="617EBF04"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31. 完善公共卫生重大风险研判、评估、决策、防控协同机制研究</w:t>
      </w:r>
    </w:p>
    <w:p w14:paraId="5672E2BB"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32. 更好运用数字技术支撑疫情监测防控研究</w:t>
      </w:r>
    </w:p>
    <w:p w14:paraId="1070F774"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33. 健全重大疫情应急响应机制研究</w:t>
      </w:r>
    </w:p>
    <w:p w14:paraId="58D1D69C"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34. 重大疫情救治体系建设和发展规划研究</w:t>
      </w:r>
    </w:p>
    <w:p w14:paraId="052304BA"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35. 更好运用中西医结合医疗救治应对重大疫情研究</w:t>
      </w:r>
    </w:p>
    <w:p w14:paraId="2B79162F"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36. 健全重大疾病医疗保险和救助制度研究</w:t>
      </w:r>
    </w:p>
    <w:p w14:paraId="5F54CEE8"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37. 健全国家储备体系研究</w:t>
      </w:r>
    </w:p>
    <w:p w14:paraId="53927F35"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38. 建立国家统一的应急物资保障体系研究</w:t>
      </w:r>
    </w:p>
    <w:p w14:paraId="362707CB"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三、研究资助</w:t>
      </w:r>
    </w:p>
    <w:p w14:paraId="1262D409" w14:textId="77777777" w:rsidR="00802F9E" w:rsidRPr="00EE5520" w:rsidRDefault="00802F9E" w:rsidP="00EE5520">
      <w:pPr>
        <w:ind w:firstLineChars="150" w:firstLine="420"/>
        <w:rPr>
          <w:rFonts w:asciiTheme="minorEastAsia" w:hAnsiTheme="minorEastAsia"/>
          <w:sz w:val="28"/>
          <w:szCs w:val="28"/>
        </w:rPr>
      </w:pPr>
      <w:r w:rsidRPr="00EE5520">
        <w:rPr>
          <w:rFonts w:asciiTheme="minorEastAsia" w:hAnsiTheme="minorEastAsia"/>
          <w:sz w:val="28"/>
          <w:szCs w:val="28"/>
        </w:rPr>
        <w:t>本专项优先支持在相关领域有研究基础、与相关实际工作部门有合作基础的课题负责人和研究团队进行申报，完成时间一般为1年，结项时提交有分量、有深度、有决策参考价值的研究报告，或高质量</w:t>
      </w:r>
      <w:r w:rsidRPr="00EE5520">
        <w:rPr>
          <w:rFonts w:asciiTheme="minorEastAsia" w:hAnsiTheme="minorEastAsia"/>
          <w:sz w:val="28"/>
          <w:szCs w:val="28"/>
        </w:rPr>
        <w:lastRenderedPageBreak/>
        <w:t>学术论文、理论文章、专著等。资助强度参照国家社科基金年度项目的标准，每项为20万元。每个重点选题方向原则上确立1-2项资助课题。</w:t>
      </w:r>
    </w:p>
    <w:p w14:paraId="746D1636"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四、申报条件</w:t>
      </w:r>
    </w:p>
    <w:p w14:paraId="17FA179F"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14:paraId="7068E7EE"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2.在研的国家社科基金项目、国家自然科学基金项目负责人不得申请本研究专项，承担教育部人文社会科学项目的负责人不得以相同或相近选题申请本研究专项。申报2020年度国家社科基金项目的负责人及其课题组成员以相同或相近选题申请本研究专项，如获得资助自动退出年度项目申报。</w:t>
      </w:r>
    </w:p>
    <w:p w14:paraId="03968602" w14:textId="77777777" w:rsidR="00802F9E" w:rsidRPr="00EE5520" w:rsidRDefault="00843A5F" w:rsidP="00EE5520">
      <w:pPr>
        <w:ind w:firstLineChars="200" w:firstLine="560"/>
        <w:rPr>
          <w:rFonts w:asciiTheme="minorEastAsia" w:hAnsiTheme="minorEastAsia"/>
          <w:sz w:val="28"/>
          <w:szCs w:val="28"/>
        </w:rPr>
      </w:pPr>
      <w:r>
        <w:rPr>
          <w:rFonts w:asciiTheme="minorEastAsia" w:hAnsiTheme="minorEastAsia" w:hint="eastAsia"/>
          <w:sz w:val="28"/>
          <w:szCs w:val="28"/>
        </w:rPr>
        <w:t>3</w:t>
      </w:r>
      <w:r w:rsidR="00802F9E" w:rsidRPr="00EE5520">
        <w:rPr>
          <w:rFonts w:asciiTheme="minorEastAsia" w:hAnsiTheme="minorEastAsia"/>
          <w:sz w:val="28"/>
          <w:szCs w:val="28"/>
        </w:rPr>
        <w:t>.凡以博士学位论文或博士后出站报告为基础申报本次研究专项，须在申请信息中注明所申请项目与学位论文（出站报告）的联系和区别，申请鉴定结项时须提交学位论文（出站报告）原件。不得以已出版的内容基本相同的研究成果申请本次研究专项。</w:t>
      </w:r>
    </w:p>
    <w:p w14:paraId="409FA79C" w14:textId="77777777" w:rsidR="00802F9E" w:rsidRPr="00EE5520" w:rsidRDefault="00843A5F" w:rsidP="00EE5520">
      <w:pPr>
        <w:ind w:firstLineChars="200" w:firstLine="560"/>
        <w:rPr>
          <w:rFonts w:asciiTheme="minorEastAsia" w:hAnsiTheme="minorEastAsia"/>
          <w:sz w:val="28"/>
          <w:szCs w:val="28"/>
        </w:rPr>
      </w:pPr>
      <w:r>
        <w:rPr>
          <w:rFonts w:asciiTheme="minorEastAsia" w:hAnsiTheme="minorEastAsia" w:hint="eastAsia"/>
          <w:sz w:val="28"/>
          <w:szCs w:val="28"/>
        </w:rPr>
        <w:t>4</w:t>
      </w:r>
      <w:r w:rsidR="00802F9E" w:rsidRPr="00EE5520">
        <w:rPr>
          <w:rFonts w:asciiTheme="minorEastAsia" w:hAnsiTheme="minorEastAsia"/>
          <w:sz w:val="28"/>
          <w:szCs w:val="28"/>
        </w:rPr>
        <w:t>.申报课题须按照申请信息要求，如实填写材料，保证没有知识产权争议，不得有违背科研诚信要求的行为。凡存在弄虚作假、抄袭剽窃等行为的，一经发现查实，取消五年申报资格，如获立项即予撤项并通报批评，列入不良科研信用记录。</w:t>
      </w:r>
    </w:p>
    <w:p w14:paraId="47EDDDF1"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lastRenderedPageBreak/>
        <w:t>五、申报程序</w:t>
      </w:r>
    </w:p>
    <w:p w14:paraId="0B685154"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本专项实行网上申报和评审，不需要提供纸质材料。具体安排如下：</w:t>
      </w:r>
    </w:p>
    <w:p w14:paraId="3C04B0C6" w14:textId="77777777" w:rsidR="0086151D"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1.国家应急管理体系建设研究专项网络申报系统将于2020年3月20日开放,在此期间申请人可登陆国家社科基金科研创新服务管理平台(https://xm.npopss-cn.gov.cn), 以实名信息提交注册申请，待</w:t>
      </w:r>
      <w:r w:rsidR="00843A5F">
        <w:rPr>
          <w:rFonts w:asciiTheme="minorEastAsia" w:hAnsiTheme="minorEastAsia" w:hint="eastAsia"/>
          <w:sz w:val="28"/>
          <w:szCs w:val="28"/>
        </w:rPr>
        <w:t>人文社科处</w:t>
      </w:r>
      <w:r w:rsidRPr="00EE5520">
        <w:rPr>
          <w:rFonts w:asciiTheme="minorEastAsia" w:hAnsiTheme="minorEastAsia"/>
          <w:sz w:val="28"/>
          <w:szCs w:val="28"/>
        </w:rPr>
        <w:t>审核后由系统创建账号并发送短信和邮件通知，之后即可登录系统，按规定要求填写申报信息。</w:t>
      </w:r>
    </w:p>
    <w:p w14:paraId="1AFE6AAF" w14:textId="77777777" w:rsidR="00802F9E" w:rsidRPr="00EE5520" w:rsidRDefault="00843A5F" w:rsidP="00EE5520">
      <w:pPr>
        <w:ind w:firstLineChars="200" w:firstLine="560"/>
        <w:rPr>
          <w:rFonts w:asciiTheme="minorEastAsia" w:hAnsiTheme="minorEastAsia"/>
          <w:sz w:val="28"/>
          <w:szCs w:val="28"/>
        </w:rPr>
      </w:pPr>
      <w:r>
        <w:rPr>
          <w:rFonts w:asciiTheme="minorEastAsia" w:hAnsiTheme="minorEastAsia" w:hint="eastAsia"/>
          <w:sz w:val="28"/>
          <w:szCs w:val="28"/>
        </w:rPr>
        <w:t>2.</w:t>
      </w:r>
      <w:r w:rsidR="00802F9E" w:rsidRPr="00EE5520">
        <w:rPr>
          <w:rFonts w:asciiTheme="minorEastAsia" w:hAnsiTheme="minorEastAsia"/>
          <w:sz w:val="28"/>
          <w:szCs w:val="28"/>
        </w:rPr>
        <w:t>国家社科基金科研创新服务管理平台主页“项目申报系统”为本次申报的唯一网络平台，网络申报办法及流程管理以该系统为准。有关申报系统及技术问题请咨询技术人员,座机:400-800-1636，电子信箱：support@e-plugger.com。</w:t>
      </w:r>
    </w:p>
    <w:p w14:paraId="2D4F6B61" w14:textId="77777777" w:rsidR="00802F9E" w:rsidRPr="00EE5520" w:rsidRDefault="00843A5F" w:rsidP="00EE5520">
      <w:pPr>
        <w:ind w:firstLineChars="200" w:firstLine="560"/>
        <w:rPr>
          <w:rFonts w:asciiTheme="minorEastAsia" w:hAnsiTheme="minorEastAsia"/>
          <w:sz w:val="28"/>
          <w:szCs w:val="28"/>
        </w:rPr>
      </w:pPr>
      <w:r>
        <w:rPr>
          <w:rFonts w:asciiTheme="minorEastAsia" w:hAnsiTheme="minorEastAsia" w:hint="eastAsia"/>
          <w:sz w:val="28"/>
          <w:szCs w:val="28"/>
        </w:rPr>
        <w:t>3</w:t>
      </w:r>
      <w:r w:rsidR="00802F9E" w:rsidRPr="00EE5520">
        <w:rPr>
          <w:rFonts w:asciiTheme="minorEastAsia" w:hAnsiTheme="minorEastAsia"/>
          <w:sz w:val="28"/>
          <w:szCs w:val="28"/>
        </w:rPr>
        <w:t>.全国社科工作办对申请信息进行资格审查，并组织专家对通过资格审查的申报课题进行评审，提出建议资助课题名单。建议资助课题名单经全国哲学社会科学工作领导小组审批后，在全国社科工作办网站公示7天。公示期满，对无异议者下达立项通知书。</w:t>
      </w:r>
    </w:p>
    <w:p w14:paraId="5AD73DBB"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六、工作安排</w:t>
      </w:r>
    </w:p>
    <w:p w14:paraId="0E681271" w14:textId="77777777" w:rsidR="00802F9E" w:rsidRPr="00EE5520" w:rsidRDefault="00802F9E" w:rsidP="00EE5520">
      <w:pPr>
        <w:ind w:firstLineChars="200" w:firstLine="560"/>
        <w:rPr>
          <w:rFonts w:asciiTheme="minorEastAsia" w:hAnsiTheme="minorEastAsia"/>
          <w:sz w:val="28"/>
          <w:szCs w:val="28"/>
        </w:rPr>
      </w:pPr>
      <w:r w:rsidRPr="00EE5520">
        <w:rPr>
          <w:rFonts w:asciiTheme="minorEastAsia" w:hAnsiTheme="minorEastAsia"/>
          <w:sz w:val="28"/>
          <w:szCs w:val="28"/>
        </w:rPr>
        <w:t>1.</w:t>
      </w:r>
      <w:r w:rsidR="00843A5F">
        <w:rPr>
          <w:rFonts w:asciiTheme="minorEastAsia" w:hAnsiTheme="minorEastAsia" w:hint="eastAsia"/>
          <w:sz w:val="28"/>
          <w:szCs w:val="28"/>
        </w:rPr>
        <w:t>为保证申报质量，学校将组织专家对拟申报项目进行</w:t>
      </w:r>
      <w:r w:rsidR="0086151D">
        <w:rPr>
          <w:rFonts w:asciiTheme="minorEastAsia" w:hAnsiTheme="minorEastAsia" w:hint="eastAsia"/>
          <w:sz w:val="28"/>
          <w:szCs w:val="28"/>
        </w:rPr>
        <w:t>评审</w:t>
      </w:r>
      <w:r w:rsidR="00843A5F">
        <w:rPr>
          <w:rFonts w:asciiTheme="minorEastAsia" w:hAnsiTheme="minorEastAsia" w:hint="eastAsia"/>
          <w:sz w:val="28"/>
          <w:szCs w:val="28"/>
        </w:rPr>
        <w:t>，请</w:t>
      </w:r>
      <w:r w:rsidR="0086151D">
        <w:rPr>
          <w:rFonts w:asciiTheme="minorEastAsia" w:hAnsiTheme="minorEastAsia" w:hint="eastAsia"/>
          <w:sz w:val="28"/>
          <w:szCs w:val="28"/>
        </w:rPr>
        <w:t>申</w:t>
      </w:r>
      <w:r w:rsidR="002B6618">
        <w:rPr>
          <w:rFonts w:asciiTheme="minorEastAsia" w:hAnsiTheme="minorEastAsia" w:hint="eastAsia"/>
          <w:sz w:val="28"/>
          <w:szCs w:val="28"/>
        </w:rPr>
        <w:t>请人</w:t>
      </w:r>
      <w:r w:rsidR="00843A5F">
        <w:rPr>
          <w:rFonts w:asciiTheme="minorEastAsia" w:hAnsiTheme="minorEastAsia" w:hint="eastAsia"/>
          <w:sz w:val="28"/>
          <w:szCs w:val="28"/>
        </w:rPr>
        <w:t>于3月28日前将《</w:t>
      </w:r>
      <w:r w:rsidR="00843A5F" w:rsidRPr="00843A5F">
        <w:rPr>
          <w:rFonts w:asciiTheme="minorEastAsia" w:hAnsiTheme="minorEastAsia"/>
          <w:sz w:val="28"/>
          <w:szCs w:val="28"/>
        </w:rPr>
        <w:t>国家应急管理体系建设研究专项申请书》</w:t>
      </w:r>
      <w:r w:rsidR="00843A5F" w:rsidRPr="00843A5F">
        <w:rPr>
          <w:rFonts w:asciiTheme="minorEastAsia" w:hAnsiTheme="minorEastAsia" w:hint="eastAsia"/>
          <w:sz w:val="28"/>
          <w:szCs w:val="28"/>
        </w:rPr>
        <w:t>电子版发送至skc@yzu.edu.cn</w:t>
      </w:r>
      <w:r w:rsidR="00843A5F">
        <w:rPr>
          <w:rFonts w:asciiTheme="minorEastAsia" w:hAnsiTheme="minorEastAsia" w:hint="eastAsia"/>
          <w:sz w:val="28"/>
          <w:szCs w:val="28"/>
        </w:rPr>
        <w:t>。</w:t>
      </w:r>
    </w:p>
    <w:p w14:paraId="499834EB" w14:textId="77777777" w:rsidR="0086151D" w:rsidRDefault="00802F9E" w:rsidP="0086151D">
      <w:pPr>
        <w:ind w:firstLineChars="200" w:firstLine="560"/>
        <w:rPr>
          <w:rFonts w:asciiTheme="minorEastAsia" w:hAnsiTheme="minorEastAsia"/>
          <w:sz w:val="28"/>
          <w:szCs w:val="28"/>
        </w:rPr>
      </w:pPr>
      <w:r w:rsidRPr="00EE5520">
        <w:rPr>
          <w:rFonts w:asciiTheme="minorEastAsia" w:hAnsiTheme="minorEastAsia"/>
          <w:sz w:val="28"/>
          <w:szCs w:val="28"/>
        </w:rPr>
        <w:t>2.</w:t>
      </w:r>
      <w:r w:rsidR="0086151D">
        <w:rPr>
          <w:rFonts w:asciiTheme="minorEastAsia" w:hAnsiTheme="minorEastAsia" w:hint="eastAsia"/>
          <w:sz w:val="28"/>
          <w:szCs w:val="28"/>
        </w:rPr>
        <w:t>4月1日前，请申</w:t>
      </w:r>
      <w:r w:rsidR="002B6618">
        <w:rPr>
          <w:rFonts w:asciiTheme="minorEastAsia" w:hAnsiTheme="minorEastAsia" w:hint="eastAsia"/>
          <w:sz w:val="28"/>
          <w:szCs w:val="28"/>
        </w:rPr>
        <w:t>请人</w:t>
      </w:r>
      <w:r w:rsidR="0086151D">
        <w:rPr>
          <w:rFonts w:asciiTheme="minorEastAsia" w:hAnsiTheme="minorEastAsia" w:hint="eastAsia"/>
          <w:sz w:val="28"/>
          <w:szCs w:val="28"/>
        </w:rPr>
        <w:t>参照</w:t>
      </w:r>
      <w:r w:rsidR="002B6618">
        <w:rPr>
          <w:rFonts w:asciiTheme="minorEastAsia" w:hAnsiTheme="minorEastAsia" w:hint="eastAsia"/>
          <w:sz w:val="28"/>
          <w:szCs w:val="28"/>
        </w:rPr>
        <w:t>网络申报</w:t>
      </w:r>
      <w:r w:rsidR="0086151D">
        <w:rPr>
          <w:rFonts w:asciiTheme="minorEastAsia" w:hAnsiTheme="minorEastAsia" w:hint="eastAsia"/>
          <w:sz w:val="28"/>
          <w:szCs w:val="28"/>
        </w:rPr>
        <w:t>用户手册，将修改完善后的申报材料提交至网络平台，</w:t>
      </w:r>
      <w:r w:rsidR="0086151D" w:rsidRPr="00EE5520">
        <w:rPr>
          <w:rFonts w:asciiTheme="minorEastAsia" w:hAnsiTheme="minorEastAsia"/>
          <w:sz w:val="28"/>
          <w:szCs w:val="28"/>
        </w:rPr>
        <w:t>逾期系统自动关闭，不再受理申报。</w:t>
      </w:r>
    </w:p>
    <w:p w14:paraId="6F32FA3A" w14:textId="77777777" w:rsidR="00F27CA5" w:rsidRPr="00F27CA5" w:rsidRDefault="00F27CA5" w:rsidP="0086151D">
      <w:pPr>
        <w:ind w:firstLineChars="200" w:firstLine="560"/>
        <w:rPr>
          <w:rFonts w:asciiTheme="minorEastAsia" w:hAnsiTheme="minorEastAsia"/>
          <w:sz w:val="28"/>
          <w:szCs w:val="28"/>
        </w:rPr>
      </w:pPr>
      <w:r>
        <w:rPr>
          <w:rFonts w:asciiTheme="minorEastAsia" w:hAnsiTheme="minorEastAsia" w:hint="eastAsia"/>
          <w:sz w:val="28"/>
          <w:szCs w:val="28"/>
        </w:rPr>
        <w:lastRenderedPageBreak/>
        <w:t>联系人：禹老师，联系电话：879777071</w:t>
      </w:r>
      <w:r w:rsidR="00556EE6">
        <w:rPr>
          <w:rFonts w:asciiTheme="minorEastAsia" w:hAnsiTheme="minorEastAsia" w:hint="eastAsia"/>
          <w:sz w:val="28"/>
          <w:szCs w:val="28"/>
        </w:rPr>
        <w:t>，13665249513</w:t>
      </w:r>
    </w:p>
    <w:p w14:paraId="11B681A1" w14:textId="77777777" w:rsidR="00802F9E" w:rsidRPr="0086151D" w:rsidRDefault="00802F9E" w:rsidP="00EE5520">
      <w:pPr>
        <w:ind w:firstLineChars="200" w:firstLine="560"/>
        <w:rPr>
          <w:rFonts w:asciiTheme="minorEastAsia" w:hAnsiTheme="minorEastAsia"/>
          <w:sz w:val="28"/>
          <w:szCs w:val="28"/>
        </w:rPr>
      </w:pPr>
    </w:p>
    <w:p w14:paraId="2197A906" w14:textId="77777777" w:rsidR="00802F9E" w:rsidRPr="00EE5520" w:rsidRDefault="00802F9E" w:rsidP="00016267">
      <w:pPr>
        <w:rPr>
          <w:rFonts w:asciiTheme="minorEastAsia" w:hAnsiTheme="minorEastAsia"/>
          <w:sz w:val="28"/>
          <w:szCs w:val="28"/>
        </w:rPr>
      </w:pPr>
    </w:p>
    <w:p w14:paraId="523C131C" w14:textId="77777777" w:rsidR="00802F9E" w:rsidRPr="00EE5520" w:rsidRDefault="00802F9E" w:rsidP="00016267">
      <w:pPr>
        <w:rPr>
          <w:rFonts w:asciiTheme="minorEastAsia" w:hAnsiTheme="minorEastAsia"/>
          <w:sz w:val="28"/>
          <w:szCs w:val="28"/>
        </w:rPr>
      </w:pPr>
      <w:r w:rsidRPr="00EE5520">
        <w:rPr>
          <w:rFonts w:asciiTheme="minorEastAsia" w:hAnsiTheme="minorEastAsia" w:hint="eastAsia"/>
          <w:sz w:val="28"/>
          <w:szCs w:val="28"/>
        </w:rPr>
        <w:t xml:space="preserve">                                           人文社科处</w:t>
      </w:r>
    </w:p>
    <w:p w14:paraId="65B60165" w14:textId="77777777" w:rsidR="00802F9E" w:rsidRPr="00EE5520" w:rsidRDefault="00802F9E" w:rsidP="0086151D">
      <w:pPr>
        <w:ind w:firstLineChars="2050" w:firstLine="5740"/>
        <w:rPr>
          <w:rFonts w:asciiTheme="minorEastAsia" w:hAnsiTheme="minorEastAsia"/>
          <w:sz w:val="28"/>
          <w:szCs w:val="28"/>
        </w:rPr>
      </w:pPr>
      <w:r w:rsidRPr="00EE5520">
        <w:rPr>
          <w:rFonts w:asciiTheme="minorEastAsia" w:hAnsiTheme="minorEastAsia"/>
          <w:sz w:val="28"/>
          <w:szCs w:val="28"/>
        </w:rPr>
        <w:t>2020年3月1</w:t>
      </w:r>
      <w:r w:rsidRPr="00EE5520">
        <w:rPr>
          <w:rFonts w:asciiTheme="minorEastAsia" w:hAnsiTheme="minorEastAsia" w:hint="eastAsia"/>
          <w:sz w:val="28"/>
          <w:szCs w:val="28"/>
        </w:rPr>
        <w:t>4</w:t>
      </w:r>
      <w:r w:rsidRPr="00EE5520">
        <w:rPr>
          <w:rFonts w:asciiTheme="minorEastAsia" w:hAnsiTheme="minorEastAsia"/>
          <w:sz w:val="28"/>
          <w:szCs w:val="28"/>
        </w:rPr>
        <w:t>日</w:t>
      </w:r>
    </w:p>
    <w:p w14:paraId="126072EF" w14:textId="77777777" w:rsidR="00802F9E" w:rsidRPr="00EE5520" w:rsidRDefault="00802F9E" w:rsidP="00016267">
      <w:pPr>
        <w:rPr>
          <w:rFonts w:asciiTheme="minorEastAsia" w:hAnsiTheme="minorEastAsia"/>
          <w:sz w:val="28"/>
          <w:szCs w:val="28"/>
        </w:rPr>
      </w:pPr>
    </w:p>
    <w:sectPr w:rsidR="00802F9E" w:rsidRPr="00EE55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63"/>
    <w:rsid w:val="00016267"/>
    <w:rsid w:val="00086063"/>
    <w:rsid w:val="00167E56"/>
    <w:rsid w:val="002B6618"/>
    <w:rsid w:val="00406B10"/>
    <w:rsid w:val="0047311E"/>
    <w:rsid w:val="00556EE6"/>
    <w:rsid w:val="005A0363"/>
    <w:rsid w:val="005B194D"/>
    <w:rsid w:val="0063533A"/>
    <w:rsid w:val="00802F9E"/>
    <w:rsid w:val="00843A5F"/>
    <w:rsid w:val="0086151D"/>
    <w:rsid w:val="00BF48AB"/>
    <w:rsid w:val="00EE5520"/>
    <w:rsid w:val="00F27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A7997"/>
  <w15:docId w15:val="{20E6910C-CED6-484D-9295-9E26FE1B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2F9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02F9E"/>
    <w:rPr>
      <w:b/>
      <w:bCs/>
    </w:rPr>
  </w:style>
  <w:style w:type="character" w:styleId="a5">
    <w:name w:val="Hyperlink"/>
    <w:basedOn w:val="a0"/>
    <w:uiPriority w:val="99"/>
    <w:unhideWhenUsed/>
    <w:rsid w:val="00802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710982">
      <w:bodyDiv w:val="1"/>
      <w:marLeft w:val="0"/>
      <w:marRight w:val="0"/>
      <w:marTop w:val="0"/>
      <w:marBottom w:val="0"/>
      <w:divBdr>
        <w:top w:val="none" w:sz="0" w:space="0" w:color="auto"/>
        <w:left w:val="none" w:sz="0" w:space="0" w:color="auto"/>
        <w:bottom w:val="none" w:sz="0" w:space="0" w:color="auto"/>
        <w:right w:val="none" w:sz="0" w:space="0" w:color="auto"/>
      </w:divBdr>
    </w:div>
    <w:div w:id="156009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400</Words>
  <Characters>2284</Characters>
  <Application>Microsoft Office Word</Application>
  <DocSecurity>0</DocSecurity>
  <Lines>19</Lines>
  <Paragraphs>5</Paragraphs>
  <ScaleCrop>false</ScaleCrop>
  <Company>LENOVO.com</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chuanjie zhang</cp:lastModifiedBy>
  <cp:revision>2</cp:revision>
  <dcterms:created xsi:type="dcterms:W3CDTF">2020-03-14T06:17:00Z</dcterms:created>
  <dcterms:modified xsi:type="dcterms:W3CDTF">2020-03-14T06:17:00Z</dcterms:modified>
</cp:coreProperties>
</file>