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ascii="黑体" w:hAnsi="黑体" w:eastAsia="黑体"/>
        </w:rPr>
      </w:pPr>
      <w:r>
        <w:rPr>
          <w:rStyle w:val="16"/>
          <w:rFonts w:hint="eastAsia" w:ascii="黑体" w:hAnsi="黑体" w:eastAsia="黑体"/>
          <w:b/>
          <w:kern w:val="2"/>
          <w:sz w:val="32"/>
          <w:szCs w:val="32"/>
        </w:rPr>
        <w:t>扬州大学科研经费管理办法（修订稿）</w:t>
      </w:r>
    </w:p>
    <w:p>
      <w:pPr>
        <w:spacing w:before="156" w:beforeLines="50" w:after="156" w:afterLines="50" w:line="500" w:lineRule="exact"/>
        <w:jc w:val="center"/>
        <w:rPr>
          <w:rFonts w:ascii="华文中宋" w:hAnsi="华文中宋" w:eastAsia="华文中宋"/>
          <w:b/>
          <w:sz w:val="28"/>
          <w:szCs w:val="28"/>
        </w:rPr>
      </w:pPr>
      <w:r>
        <w:rPr>
          <w:rFonts w:hint="eastAsia" w:ascii="华文中宋" w:hAnsi="华文中宋" w:eastAsia="华文中宋"/>
          <w:b/>
          <w:sz w:val="28"/>
          <w:szCs w:val="28"/>
        </w:rPr>
        <w:t>第一章　总　　则</w:t>
      </w:r>
    </w:p>
    <w:p>
      <w:pPr>
        <w:pStyle w:val="9"/>
        <w:widowControl w:val="0"/>
        <w:adjustRightInd w:val="0"/>
        <w:snapToGrid w:val="0"/>
        <w:spacing w:before="0" w:beforeAutospacing="0" w:after="0" w:afterAutospacing="0" w:line="480" w:lineRule="exact"/>
        <w:ind w:firstLine="562" w:firstLineChars="200"/>
        <w:rPr>
          <w:rFonts w:ascii="仿宋" w:hAnsi="仿宋" w:eastAsia="仿宋"/>
          <w:sz w:val="28"/>
          <w:szCs w:val="28"/>
        </w:rPr>
      </w:pPr>
      <w:r>
        <w:rPr>
          <w:rFonts w:hint="eastAsia" w:ascii="仿宋" w:hAnsi="仿宋" w:eastAsia="仿宋"/>
          <w:b/>
          <w:sz w:val="28"/>
          <w:szCs w:val="28"/>
        </w:rPr>
        <w:t>第一条</w:t>
      </w:r>
      <w:r>
        <w:rPr>
          <w:rFonts w:hint="eastAsia" w:ascii="仿宋" w:hAnsi="仿宋" w:eastAsia="仿宋"/>
          <w:sz w:val="28"/>
          <w:szCs w:val="28"/>
        </w:rPr>
        <w:t>　为加强学校科研经费管理，提高科研经费使用效益，激发教师从事科研的主动性、积极性和创造性，促进学校科研工作健康、可持续发展，根据《国务院关于改进加强中央财政科研项目和资金管理的若干意见》（国发〔</w:t>
      </w:r>
      <w:r>
        <w:rPr>
          <w:rFonts w:ascii="仿宋" w:hAnsi="仿宋" w:eastAsia="仿宋"/>
          <w:sz w:val="28"/>
          <w:szCs w:val="28"/>
        </w:rPr>
        <w:t>2014</w:t>
      </w:r>
      <w:r>
        <w:rPr>
          <w:rFonts w:hint="eastAsia" w:ascii="仿宋" w:hAnsi="仿宋" w:eastAsia="仿宋"/>
          <w:sz w:val="28"/>
          <w:szCs w:val="28"/>
        </w:rPr>
        <w:t>〕</w:t>
      </w:r>
      <w:r>
        <w:rPr>
          <w:rFonts w:ascii="仿宋" w:hAnsi="仿宋" w:eastAsia="仿宋"/>
          <w:sz w:val="28"/>
          <w:szCs w:val="28"/>
        </w:rPr>
        <w:t>11</w:t>
      </w:r>
      <w:r>
        <w:rPr>
          <w:rFonts w:hint="eastAsia" w:ascii="仿宋" w:hAnsi="仿宋" w:eastAsia="仿宋"/>
          <w:sz w:val="28"/>
          <w:szCs w:val="28"/>
        </w:rPr>
        <w:t>号）及上级其他有关规定，结合我校实际，制定本办法。</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b/>
          <w:sz w:val="28"/>
          <w:szCs w:val="28"/>
        </w:rPr>
        <w:t>第二条　</w:t>
      </w:r>
      <w:r>
        <w:rPr>
          <w:rFonts w:hint="eastAsia" w:ascii="仿宋" w:hAnsi="仿宋" w:eastAsia="仿宋" w:cs="宋体"/>
          <w:kern w:val="0"/>
          <w:sz w:val="28"/>
          <w:szCs w:val="28"/>
        </w:rPr>
        <w:t>本办法所述科研经费是指学校为开展科学研究活动所取得的各类纵向科研经费和横向科研经费。</w:t>
      </w:r>
    </w:p>
    <w:p>
      <w:pPr>
        <w:widowControl/>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纵向科研经费是指以学校为科研承担单位或合作单位</w:t>
      </w:r>
      <w:r>
        <w:rPr>
          <w:rFonts w:ascii="仿宋" w:hAnsi="仿宋" w:eastAsia="仿宋" w:cs="宋体"/>
          <w:kern w:val="0"/>
          <w:sz w:val="28"/>
          <w:szCs w:val="28"/>
        </w:rPr>
        <w:t>,</w:t>
      </w:r>
      <w:r>
        <w:rPr>
          <w:rFonts w:hint="eastAsia" w:ascii="仿宋" w:hAnsi="仿宋" w:eastAsia="仿宋" w:cs="宋体"/>
          <w:kern w:val="0"/>
          <w:sz w:val="28"/>
          <w:szCs w:val="28"/>
        </w:rPr>
        <w:t>从政府主管部门获得的财政资金资助的科研经费。</w:t>
      </w:r>
    </w:p>
    <w:p>
      <w:pPr>
        <w:widowControl/>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横向科研经费是指学校从政府主管部门以外渠道获得的社会资金资助的科研经费，包括通过联合研究、委托研究、科技攻关、技术咨询、技术服务、技术开发与技术转让等方式获得的经费。</w:t>
      </w:r>
    </w:p>
    <w:p>
      <w:pPr>
        <w:widowControl/>
        <w:snapToGrid w:val="0"/>
        <w:spacing w:line="480" w:lineRule="exact"/>
        <w:ind w:firstLine="562" w:firstLineChars="200"/>
        <w:rPr>
          <w:rFonts w:ascii="宋体" w:cs="宋体"/>
          <w:kern w:val="0"/>
          <w:sz w:val="28"/>
          <w:szCs w:val="28"/>
        </w:rPr>
      </w:pPr>
      <w:r>
        <w:rPr>
          <w:rFonts w:hint="eastAsia" w:ascii="仿宋" w:hAnsi="仿宋" w:eastAsia="仿宋" w:cs="宋体"/>
          <w:b/>
          <w:kern w:val="0"/>
          <w:sz w:val="28"/>
          <w:szCs w:val="28"/>
        </w:rPr>
        <w:t>第三条</w:t>
      </w:r>
      <w:r>
        <w:rPr>
          <w:rFonts w:hint="eastAsia" w:ascii="仿宋" w:hAnsi="仿宋" w:eastAsia="仿宋" w:cs="宋体"/>
          <w:kern w:val="0"/>
          <w:sz w:val="28"/>
          <w:szCs w:val="28"/>
        </w:rPr>
        <w:t>　各级各类科研经费须纳入学校财务统一管理，并按照国家相关法律法规、上级和学校有关规定以及科研合同、委托协议等要求合理使用。</w:t>
      </w:r>
    </w:p>
    <w:p>
      <w:pPr>
        <w:spacing w:before="156" w:beforeLines="50" w:after="156" w:afterLines="50" w:line="500" w:lineRule="exact"/>
        <w:jc w:val="center"/>
        <w:rPr>
          <w:rFonts w:ascii="华文中宋" w:hAnsi="华文中宋" w:eastAsia="华文中宋"/>
          <w:b/>
          <w:sz w:val="28"/>
          <w:szCs w:val="28"/>
        </w:rPr>
      </w:pPr>
      <w:r>
        <w:rPr>
          <w:rFonts w:hint="eastAsia" w:ascii="华文中宋" w:hAnsi="华文中宋" w:eastAsia="华文中宋"/>
          <w:b/>
          <w:sz w:val="28"/>
          <w:szCs w:val="28"/>
        </w:rPr>
        <w:t>第二章　职责与权限</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第四条　</w:t>
      </w:r>
      <w:r>
        <w:rPr>
          <w:rFonts w:hint="eastAsia" w:ascii="仿宋" w:hAnsi="仿宋" w:eastAsia="仿宋" w:cs="宋体"/>
          <w:kern w:val="0"/>
          <w:sz w:val="28"/>
          <w:szCs w:val="28"/>
        </w:rPr>
        <w:t>学校实行“统一领导、分级管理、责任到人”的科研经费管理体制。</w:t>
      </w:r>
    </w:p>
    <w:p>
      <w:pPr>
        <w:widowControl/>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科研经费管理的重大问题由学校党委常委会或校长办公会集体研究决定。</w:t>
      </w:r>
    </w:p>
    <w:p>
      <w:pPr>
        <w:widowControl/>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校长和分管科研、财务工作的校领导对学校科研经费管理承担领导责任。</w:t>
      </w:r>
    </w:p>
    <w:p>
      <w:pPr>
        <w:widowControl/>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学校科研、财务、人事、资产、设备、档案、监察、审计等部门是科研经费业务管理的主要职能部门，负责建立健全相关管理制度，完善内部控制机制，确保经费使用权、管理权和监督权的有效行使，保障科研项目的正常实施。各部门负责人对部门职责</w:t>
      </w:r>
      <w:r>
        <w:rPr>
          <w:rFonts w:ascii="仿宋" w:hAnsi="仿宋" w:eastAsia="仿宋" w:cs="宋体"/>
          <w:kern w:val="0"/>
          <w:sz w:val="28"/>
          <w:szCs w:val="28"/>
        </w:rPr>
        <w:t>范围内的</w:t>
      </w:r>
      <w:r>
        <w:rPr>
          <w:rFonts w:hint="eastAsia" w:ascii="仿宋" w:hAnsi="仿宋" w:eastAsia="仿宋" w:cs="宋体"/>
          <w:kern w:val="0"/>
          <w:sz w:val="28"/>
          <w:szCs w:val="28"/>
        </w:rPr>
        <w:t>相关管理工作承担直接责任。</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第五条</w:t>
      </w:r>
      <w:r>
        <w:rPr>
          <w:rFonts w:hint="eastAsia" w:ascii="仿宋" w:hAnsi="仿宋" w:eastAsia="仿宋" w:cs="宋体"/>
          <w:kern w:val="0"/>
          <w:sz w:val="28"/>
          <w:szCs w:val="28"/>
        </w:rPr>
        <w:t>　学院或直属单位（含独立研究机构）是科研活动的基层管理单位，对本单位科研经费使用的合规性、合理性、真实性承担监管责任。学院要根据学科特点和科研实际需要，配合相关职能部门，合理配置资源，为科研项目实施提供条件保障；加强预算执行，督促项目进度。</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第六条</w:t>
      </w:r>
      <w:r>
        <w:rPr>
          <w:rFonts w:hint="eastAsia" w:ascii="仿宋" w:hAnsi="仿宋" w:eastAsia="仿宋" w:cs="宋体"/>
          <w:kern w:val="0"/>
          <w:sz w:val="28"/>
          <w:szCs w:val="28"/>
        </w:rPr>
        <w:t>　科研管理部门负责科研项目的合同管理，督促项目负责人按照项目任务书</w:t>
      </w:r>
      <w:bookmarkStart w:id="0" w:name="OLE_LINK1"/>
      <w:bookmarkStart w:id="1" w:name="OLE_LINK2"/>
      <w:r>
        <w:rPr>
          <w:rFonts w:hint="eastAsia" w:ascii="仿宋" w:hAnsi="仿宋" w:eastAsia="仿宋" w:cs="宋体"/>
          <w:kern w:val="0"/>
          <w:sz w:val="28"/>
          <w:szCs w:val="28"/>
        </w:rPr>
        <w:t>（或立项通知书）</w:t>
      </w:r>
      <w:bookmarkEnd w:id="0"/>
      <w:bookmarkEnd w:id="1"/>
      <w:r>
        <w:rPr>
          <w:rFonts w:hint="eastAsia" w:ascii="仿宋" w:hAnsi="仿宋" w:eastAsia="仿宋" w:cs="宋体"/>
          <w:kern w:val="0"/>
          <w:sz w:val="28"/>
          <w:szCs w:val="28"/>
        </w:rPr>
        <w:t>、合同预算使用科研经费开展科研工作，监督科研经费使用，协助财务处做好科研经费管理工作。</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第七条</w:t>
      </w:r>
      <w:r>
        <w:rPr>
          <w:rFonts w:hint="eastAsia" w:ascii="仿宋" w:hAnsi="仿宋" w:eastAsia="仿宋" w:cs="宋体"/>
          <w:kern w:val="0"/>
          <w:sz w:val="28"/>
          <w:szCs w:val="28"/>
        </w:rPr>
        <w:t>　财务处负责制订、完善科研经费财务管理制度及运行流程，开展科研经费财务管理和会计核算。</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第八条</w:t>
      </w:r>
      <w:r>
        <w:rPr>
          <w:rFonts w:hint="eastAsia" w:ascii="仿宋" w:hAnsi="仿宋" w:eastAsia="仿宋" w:cs="宋体"/>
          <w:kern w:val="0"/>
          <w:sz w:val="28"/>
          <w:szCs w:val="28"/>
        </w:rPr>
        <w:t>　人事处负责协助科研管理部门配备科研管理人员，完善绩效考核、师德师风教育等制度。</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第九条</w:t>
      </w:r>
      <w:r>
        <w:rPr>
          <w:rFonts w:hint="eastAsia" w:ascii="仿宋" w:hAnsi="仿宋" w:eastAsia="仿宋" w:cs="宋体"/>
          <w:kern w:val="0"/>
          <w:sz w:val="28"/>
          <w:szCs w:val="28"/>
        </w:rPr>
        <w:t>　国有资产管理处负责学校科研用房配置、科研经费购置或形成的各类资产的管理等工作。</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第十条</w:t>
      </w:r>
      <w:r>
        <w:rPr>
          <w:rFonts w:hint="eastAsia" w:ascii="仿宋" w:hAnsi="仿宋" w:eastAsia="仿宋" w:cs="宋体"/>
          <w:kern w:val="0"/>
          <w:sz w:val="28"/>
          <w:szCs w:val="28"/>
        </w:rPr>
        <w:t>　实验室与设备管理处负责科研设备采购和科研实验室管理。</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第十一条</w:t>
      </w:r>
      <w:r>
        <w:rPr>
          <w:rFonts w:hint="eastAsia" w:ascii="仿宋" w:hAnsi="仿宋" w:eastAsia="仿宋" w:cs="宋体"/>
          <w:kern w:val="0"/>
          <w:sz w:val="28"/>
          <w:szCs w:val="28"/>
        </w:rPr>
        <w:t>　档案馆负责科研项目立项、结项预决算档案的保管、检索、信息利用等工作。</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第十二条</w:t>
      </w:r>
      <w:r>
        <w:rPr>
          <w:rFonts w:hint="eastAsia" w:ascii="仿宋" w:hAnsi="仿宋" w:eastAsia="仿宋" w:cs="宋体"/>
          <w:kern w:val="0"/>
          <w:sz w:val="28"/>
          <w:szCs w:val="28"/>
        </w:rPr>
        <w:t>　监察处、审计处负责科研经费的监督、审计和检查工作。</w:t>
      </w:r>
    </w:p>
    <w:p>
      <w:pPr>
        <w:widowControl/>
        <w:snapToGrid w:val="0"/>
        <w:spacing w:line="48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第十三条</w:t>
      </w:r>
      <w:r>
        <w:rPr>
          <w:rFonts w:hint="eastAsia" w:ascii="仿宋" w:hAnsi="仿宋" w:eastAsia="仿宋" w:cs="宋体"/>
          <w:kern w:val="0"/>
          <w:sz w:val="28"/>
          <w:szCs w:val="28"/>
        </w:rPr>
        <w:t>　科研项目负责人是科研经费使用的直接责任人，对经费使用的合规性、合理性、真实性、相关性承担法律责任。项目负责人要依法、据实编制科研项目预算和决算，按照批复预算和合同（或任务书）使用经费，接受上级和学校相关部门的监督检查。</w:t>
      </w:r>
    </w:p>
    <w:p>
      <w:pPr>
        <w:spacing w:before="156" w:beforeLines="50" w:after="156" w:afterLines="50" w:line="500" w:lineRule="exact"/>
        <w:jc w:val="center"/>
        <w:rPr>
          <w:rFonts w:ascii="华文中宋" w:hAnsi="华文中宋" w:eastAsia="华文中宋"/>
          <w:b/>
          <w:sz w:val="28"/>
          <w:szCs w:val="28"/>
        </w:rPr>
      </w:pPr>
      <w:r>
        <w:rPr>
          <w:rFonts w:hint="eastAsia" w:ascii="华文中宋" w:hAnsi="华文中宋" w:eastAsia="华文中宋"/>
          <w:b/>
          <w:sz w:val="28"/>
          <w:szCs w:val="28"/>
        </w:rPr>
        <w:t>第三章　预决算管理</w:t>
      </w:r>
    </w:p>
    <w:p>
      <w:pPr>
        <w:adjustRightInd w:val="0"/>
        <w:snapToGrid w:val="0"/>
        <w:spacing w:line="48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第十四条</w:t>
      </w:r>
      <w:r>
        <w:rPr>
          <w:rFonts w:hint="eastAsia" w:ascii="仿宋" w:hAnsi="仿宋" w:eastAsia="仿宋"/>
          <w:kern w:val="0"/>
          <w:sz w:val="28"/>
          <w:szCs w:val="28"/>
        </w:rPr>
        <w:t>　科研项目负责人在财务处和科研管理部门指导下，根据项目研究开发任务的特点和实际需要，按照政策相符性、目标相关性、经济合理性原则，科学、合理地编制项目经费预算。</w:t>
      </w:r>
    </w:p>
    <w:p>
      <w:pPr>
        <w:adjustRightInd w:val="0"/>
        <w:snapToGrid w:val="0"/>
        <w:spacing w:line="480" w:lineRule="exact"/>
        <w:ind w:firstLine="562" w:firstLineChars="200"/>
        <w:rPr>
          <w:rFonts w:ascii="仿宋" w:hAnsi="仿宋" w:eastAsia="仿宋"/>
          <w:kern w:val="0"/>
          <w:sz w:val="28"/>
          <w:szCs w:val="28"/>
        </w:rPr>
      </w:pPr>
      <w:r>
        <w:rPr>
          <w:rFonts w:hint="eastAsia" w:ascii="仿宋" w:hAnsi="仿宋" w:eastAsia="仿宋" w:cs="宋体"/>
          <w:b/>
          <w:kern w:val="0"/>
          <w:sz w:val="28"/>
          <w:szCs w:val="28"/>
        </w:rPr>
        <w:t>第十五条　</w:t>
      </w:r>
      <w:r>
        <w:rPr>
          <w:rFonts w:hint="eastAsia" w:ascii="仿宋" w:hAnsi="仿宋" w:eastAsia="仿宋"/>
          <w:kern w:val="0"/>
          <w:sz w:val="28"/>
          <w:szCs w:val="28"/>
        </w:rPr>
        <w:t>科研经费预算包括收入预算和支出预算。</w:t>
      </w:r>
    </w:p>
    <w:p>
      <w:pPr>
        <w:adjustRightInd w:val="0"/>
        <w:snapToGrid w:val="0"/>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收入预算是关于项目经费来源的预算，包括向项目资助单位申请资助的经费和自筹经费。</w:t>
      </w:r>
    </w:p>
    <w:p>
      <w:pPr>
        <w:adjustRightInd w:val="0"/>
        <w:snapToGrid w:val="0"/>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支出预算是关于科研相关支出的预算，包括直接费用、间接费用和其他费用。</w:t>
      </w:r>
    </w:p>
    <w:p>
      <w:pPr>
        <w:adjustRightInd w:val="0"/>
        <w:snapToGrid w:val="0"/>
        <w:spacing w:line="480" w:lineRule="exact"/>
        <w:ind w:firstLine="560"/>
        <w:rPr>
          <w:rFonts w:ascii="仿宋" w:hAnsi="仿宋" w:eastAsia="仿宋"/>
          <w:kern w:val="0"/>
          <w:sz w:val="28"/>
          <w:szCs w:val="28"/>
        </w:rPr>
      </w:pPr>
      <w:r>
        <w:rPr>
          <w:rFonts w:hint="eastAsia" w:ascii="仿宋" w:hAnsi="仿宋" w:eastAsia="仿宋"/>
          <w:sz w:val="28"/>
          <w:szCs w:val="28"/>
          <w:lang w:eastAsia="zh-CN"/>
        </w:rPr>
        <w:t>（一）</w:t>
      </w:r>
      <w:r>
        <w:rPr>
          <w:rFonts w:hint="eastAsia" w:ascii="仿宋" w:hAnsi="仿宋" w:eastAsia="仿宋"/>
          <w:kern w:val="0"/>
          <w:sz w:val="28"/>
          <w:szCs w:val="28"/>
        </w:rPr>
        <w:t>自然科学类科研项目直接费用是指科研项目实施过程中发生的、与科研活动直接相关的费用。主要包括设备费、材料费、测试化验加工及计算分析费、燃料动力费、差旅费、会议费、国际合作与交流费、出版</w:t>
      </w:r>
      <w:r>
        <w:rPr>
          <w:rFonts w:ascii="仿宋" w:hAnsi="仿宋" w:eastAsia="仿宋"/>
          <w:kern w:val="0"/>
          <w:sz w:val="28"/>
          <w:szCs w:val="28"/>
        </w:rPr>
        <w:t>/</w:t>
      </w:r>
      <w:r>
        <w:rPr>
          <w:rFonts w:hint="eastAsia" w:ascii="仿宋" w:hAnsi="仿宋" w:eastAsia="仿宋"/>
          <w:kern w:val="0"/>
          <w:sz w:val="28"/>
          <w:szCs w:val="28"/>
        </w:rPr>
        <w:t>文献</w:t>
      </w:r>
      <w:r>
        <w:rPr>
          <w:rFonts w:ascii="仿宋" w:hAnsi="仿宋" w:eastAsia="仿宋"/>
          <w:kern w:val="0"/>
          <w:sz w:val="28"/>
          <w:szCs w:val="28"/>
        </w:rPr>
        <w:t>/</w:t>
      </w:r>
      <w:r>
        <w:rPr>
          <w:rFonts w:hint="eastAsia" w:ascii="仿宋" w:hAnsi="仿宋" w:eastAsia="仿宋"/>
          <w:kern w:val="0"/>
          <w:sz w:val="28"/>
          <w:szCs w:val="28"/>
        </w:rPr>
        <w:t>信息传播</w:t>
      </w:r>
      <w:r>
        <w:rPr>
          <w:rFonts w:ascii="仿宋" w:hAnsi="仿宋" w:eastAsia="仿宋"/>
          <w:kern w:val="0"/>
          <w:sz w:val="28"/>
          <w:szCs w:val="28"/>
        </w:rPr>
        <w:t>/</w:t>
      </w:r>
      <w:r>
        <w:rPr>
          <w:rFonts w:hint="eastAsia" w:ascii="仿宋" w:hAnsi="仿宋" w:eastAsia="仿宋"/>
          <w:kern w:val="0"/>
          <w:sz w:val="28"/>
          <w:szCs w:val="28"/>
        </w:rPr>
        <w:t>知识产权事务费、劳务费、专家咨询费等。其中各项支出不得简单按比例编制预算。</w:t>
      </w:r>
    </w:p>
    <w:p>
      <w:pPr>
        <w:adjustRightInd w:val="0"/>
        <w:snapToGrid w:val="0"/>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人文社会科学类科研项目直接费用主要包括资料费、数据采集费、差旅费、会议费、国际合作与交流费、设备费、专家咨询费、劳务费、印刷费、其他费用。其中各项支出不得简单按比例编制预算。</w:t>
      </w:r>
    </w:p>
    <w:p>
      <w:pPr>
        <w:adjustRightInd w:val="0"/>
        <w:snapToGrid w:val="0"/>
        <w:spacing w:line="480" w:lineRule="exact"/>
        <w:ind w:firstLine="560" w:firstLineChars="200"/>
        <w:outlineLvl w:val="0"/>
        <w:rPr>
          <w:rFonts w:ascii="仿宋" w:hAnsi="仿宋" w:eastAsia="仿宋"/>
          <w:kern w:val="0"/>
          <w:sz w:val="28"/>
          <w:szCs w:val="28"/>
        </w:rPr>
      </w:pPr>
      <w:r>
        <w:rPr>
          <w:rFonts w:hint="eastAsia" w:ascii="仿宋" w:hAnsi="仿宋" w:eastAsia="仿宋"/>
          <w:sz w:val="28"/>
          <w:szCs w:val="28"/>
          <w:lang w:eastAsia="zh-CN"/>
        </w:rPr>
        <w:t>（二）</w:t>
      </w:r>
      <w:r>
        <w:rPr>
          <w:rFonts w:hint="eastAsia" w:ascii="仿宋" w:hAnsi="仿宋" w:eastAsia="仿宋"/>
          <w:kern w:val="0"/>
          <w:sz w:val="28"/>
          <w:szCs w:val="28"/>
        </w:rPr>
        <w:t>间接费用是指在组织实施科研项目过程中发生的、无法在直接费用中列支的相关费用。</w:t>
      </w:r>
    </w:p>
    <w:p>
      <w:pPr>
        <w:adjustRightInd w:val="0"/>
        <w:snapToGrid w:val="0"/>
        <w:spacing w:line="480" w:lineRule="exact"/>
        <w:ind w:firstLine="560" w:firstLineChars="200"/>
        <w:outlineLvl w:val="0"/>
        <w:rPr>
          <w:rFonts w:ascii="仿宋" w:hAnsi="仿宋" w:eastAsia="仿宋"/>
          <w:kern w:val="0"/>
          <w:sz w:val="28"/>
          <w:szCs w:val="28"/>
        </w:rPr>
      </w:pPr>
      <w:r>
        <w:rPr>
          <w:rFonts w:hint="eastAsia" w:ascii="仿宋" w:hAnsi="仿宋" w:eastAsia="仿宋"/>
          <w:kern w:val="0"/>
          <w:sz w:val="28"/>
          <w:szCs w:val="28"/>
        </w:rPr>
        <w:t>自然科学类纵向项目间接经费主要包括科研管理费、科研绩效费、科技条件支撑费等；人文社会科学类纵向项目间接费用主要包括科研管理费、科研绩效费等。</w:t>
      </w:r>
    </w:p>
    <w:p>
      <w:pPr>
        <w:adjustRightInd w:val="0"/>
        <w:snapToGrid w:val="0"/>
        <w:spacing w:line="480" w:lineRule="exact"/>
        <w:ind w:firstLine="560" w:firstLineChars="200"/>
        <w:outlineLvl w:val="0"/>
        <w:rPr>
          <w:rFonts w:ascii="仿宋" w:hAnsi="仿宋" w:eastAsia="仿宋"/>
          <w:kern w:val="0"/>
          <w:sz w:val="28"/>
          <w:szCs w:val="28"/>
        </w:rPr>
      </w:pPr>
      <w:r>
        <w:rPr>
          <w:rFonts w:hint="eastAsia" w:ascii="仿宋" w:hAnsi="仿宋" w:eastAsia="仿宋"/>
          <w:kern w:val="0"/>
          <w:sz w:val="28"/>
          <w:szCs w:val="28"/>
        </w:rPr>
        <w:t>横向项目间接经费主要包括科研管理费、科研绩效费、税费等。间接经费应按规定上限编制预算。</w:t>
      </w:r>
    </w:p>
    <w:p>
      <w:pPr>
        <w:adjustRightInd w:val="0"/>
        <w:snapToGrid w:val="0"/>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⒈科研管理费是指学校、学院在组织开展科研活动过程中发生的管理、组织、协调等费用。</w:t>
      </w:r>
    </w:p>
    <w:p>
      <w:pPr>
        <w:adjustRightInd w:val="0"/>
        <w:snapToGrid w:val="0"/>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⒉科研绩效费是指为提高项目组成员科研工作绩效安排的相关支出。</w:t>
      </w:r>
    </w:p>
    <w:p>
      <w:pPr>
        <w:adjustRightInd w:val="0"/>
        <w:snapToGrid w:val="0"/>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⒊科研条件支撑费是指学校为保障科研活动开展所提供的现有房屋、构筑物、仪器设备、图书文献资料、网络信息平台等消耗，水电气暖等公共支出，项目审计费等。</w:t>
      </w:r>
    </w:p>
    <w:p>
      <w:pPr>
        <w:adjustRightInd w:val="0"/>
        <w:snapToGrid w:val="0"/>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⒋税费是指根据国家税收政策规定应缴纳的税费。</w:t>
      </w:r>
    </w:p>
    <w:p>
      <w:pPr>
        <w:adjustRightInd w:val="0"/>
        <w:snapToGrid w:val="0"/>
        <w:spacing w:line="480" w:lineRule="exact"/>
        <w:ind w:firstLine="560" w:firstLineChars="200"/>
        <w:rPr>
          <w:rFonts w:ascii="仿宋" w:hAnsi="仿宋" w:eastAsia="仿宋"/>
          <w:kern w:val="0"/>
          <w:sz w:val="28"/>
          <w:szCs w:val="28"/>
        </w:rPr>
      </w:pPr>
      <w:r>
        <w:rPr>
          <w:rFonts w:hint="eastAsia" w:ascii="仿宋" w:hAnsi="仿宋" w:eastAsia="仿宋"/>
          <w:sz w:val="28"/>
          <w:szCs w:val="28"/>
          <w:lang w:eastAsia="zh-CN"/>
        </w:rPr>
        <w:t>（三）</w:t>
      </w:r>
      <w:r>
        <w:rPr>
          <w:rFonts w:hint="eastAsia" w:ascii="仿宋" w:hAnsi="仿宋" w:eastAsia="仿宋"/>
          <w:kern w:val="0"/>
          <w:sz w:val="28"/>
          <w:szCs w:val="28"/>
        </w:rPr>
        <w:t>其他费用是指在承担科研项目过程中发生的除上述费用以外的其他支出。应在预算时单独列示，单独核定。</w:t>
      </w:r>
    </w:p>
    <w:p>
      <w:pPr>
        <w:widowControl/>
        <w:adjustRightInd w:val="0"/>
        <w:snapToGrid w:val="0"/>
        <w:spacing w:line="480" w:lineRule="exact"/>
        <w:ind w:firstLine="562" w:firstLineChars="200"/>
        <w:jc w:val="left"/>
        <w:rPr>
          <w:rFonts w:ascii="仿宋" w:hAnsi="仿宋" w:eastAsia="仿宋" w:cs="宋体"/>
          <w:kern w:val="0"/>
          <w:sz w:val="28"/>
          <w:szCs w:val="28"/>
        </w:rPr>
      </w:pPr>
      <w:r>
        <w:rPr>
          <w:rFonts w:hint="eastAsia" w:ascii="仿宋" w:hAnsi="仿宋" w:eastAsia="仿宋" w:cs="宋体"/>
          <w:b/>
          <w:kern w:val="0"/>
          <w:sz w:val="28"/>
          <w:szCs w:val="28"/>
        </w:rPr>
        <w:t>第十六条</w:t>
      </w:r>
      <w:r>
        <w:rPr>
          <w:rFonts w:hint="eastAsia" w:ascii="仿宋" w:hAnsi="仿宋" w:eastAsia="仿宋" w:cs="宋体"/>
          <w:kern w:val="0"/>
          <w:sz w:val="28"/>
          <w:szCs w:val="28"/>
        </w:rPr>
        <w:t>　学校视实际情况成立联合工作组，对拟申报财政资金资助的科研项目组织预算评审，提出审核意见。项目负责人应依据预算审核意见调整编制预算。</w:t>
      </w:r>
    </w:p>
    <w:p>
      <w:pPr>
        <w:widowControl/>
        <w:adjustRightInd w:val="0"/>
        <w:snapToGrid w:val="0"/>
        <w:spacing w:line="480" w:lineRule="exact"/>
        <w:ind w:firstLine="562" w:firstLineChars="200"/>
        <w:jc w:val="left"/>
        <w:rPr>
          <w:rFonts w:ascii="仿宋" w:hAnsi="仿宋" w:eastAsia="仿宋" w:cs="宋体"/>
          <w:kern w:val="0"/>
          <w:sz w:val="28"/>
          <w:szCs w:val="28"/>
        </w:rPr>
      </w:pPr>
      <w:r>
        <w:rPr>
          <w:rFonts w:hint="eastAsia" w:ascii="仿宋" w:hAnsi="仿宋" w:eastAsia="仿宋"/>
          <w:b/>
          <w:kern w:val="0"/>
          <w:sz w:val="28"/>
          <w:szCs w:val="28"/>
        </w:rPr>
        <w:t>第十七条　</w:t>
      </w:r>
      <w:r>
        <w:rPr>
          <w:rFonts w:hint="eastAsia" w:ascii="仿宋" w:hAnsi="仿宋" w:eastAsia="仿宋" w:cs="宋体"/>
          <w:kern w:val="0"/>
          <w:sz w:val="28"/>
          <w:szCs w:val="28"/>
        </w:rPr>
        <w:t>纵向科研项目预算一经批复，原则上不予调整，确需调整的，应按规定程序履行调整手续。预算调整权属于学校的，由项目负责人提出调整申请，经学院及科研管理部门审核同意，由财务处批准后执行；超出学校权限的，除履行前述手续外，还须经学校批准后按规定上报审批。调整预算须在取得批复后方可执行。</w:t>
      </w:r>
    </w:p>
    <w:p>
      <w:pPr>
        <w:widowControl/>
        <w:adjustRightInd w:val="0"/>
        <w:snapToGrid w:val="0"/>
        <w:spacing w:line="48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横向科研项目预算调整，可按合同规定或当事人约定进行。</w:t>
      </w:r>
    </w:p>
    <w:p>
      <w:pPr>
        <w:widowControl/>
        <w:adjustRightInd w:val="0"/>
        <w:snapToGrid w:val="0"/>
        <w:spacing w:line="48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第十八条</w:t>
      </w:r>
      <w:r>
        <w:rPr>
          <w:rFonts w:hint="eastAsia" w:ascii="仿宋" w:hAnsi="仿宋" w:eastAsia="仿宋"/>
          <w:kern w:val="0"/>
          <w:sz w:val="28"/>
          <w:szCs w:val="28"/>
        </w:rPr>
        <w:t>　科研项目负责人须严格按学校财务账面情况如实编报项目决算，经科研管理部门、财务处、审计处审核后，方可报出并存档。</w:t>
      </w:r>
    </w:p>
    <w:p>
      <w:pPr>
        <w:widowControl/>
        <w:adjustRightInd w:val="0"/>
        <w:snapToGrid w:val="0"/>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项目资助单位要求第三方审计的，项目负责人应委托具备资质的审计机构出具科研经费决算审计报告。</w:t>
      </w:r>
    </w:p>
    <w:p>
      <w:pPr>
        <w:spacing w:before="156" w:beforeLines="50" w:after="156" w:afterLines="50" w:line="500" w:lineRule="exact"/>
        <w:jc w:val="center"/>
        <w:rPr>
          <w:rFonts w:ascii="华文中宋" w:hAnsi="华文中宋" w:eastAsia="华文中宋"/>
          <w:b/>
          <w:sz w:val="28"/>
          <w:szCs w:val="28"/>
        </w:rPr>
      </w:pPr>
      <w:r>
        <w:rPr>
          <w:rFonts w:hint="eastAsia" w:ascii="华文中宋" w:hAnsi="华文中宋" w:eastAsia="华文中宋"/>
          <w:b/>
          <w:sz w:val="28"/>
          <w:szCs w:val="28"/>
        </w:rPr>
        <w:t>第四章　收支管理</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第十九条</w:t>
      </w:r>
      <w:r>
        <w:rPr>
          <w:rFonts w:hint="eastAsia" w:ascii="仿宋" w:hAnsi="仿宋" w:eastAsia="仿宋"/>
          <w:sz w:val="28"/>
          <w:szCs w:val="28"/>
        </w:rPr>
        <w:t>　学校对各类科研经费实行专项管理，专款专用。使用权仅限于项目组成员。</w:t>
      </w:r>
    </w:p>
    <w:p>
      <w:pPr>
        <w:adjustRightInd w:val="0"/>
        <w:snapToGrid w:val="0"/>
        <w:spacing w:line="480" w:lineRule="exact"/>
        <w:ind w:firstLine="562" w:firstLineChars="200"/>
        <w:rPr>
          <w:rFonts w:ascii="仿宋" w:hAnsi="仿宋" w:eastAsia="仿宋"/>
          <w:sz w:val="28"/>
          <w:szCs w:val="28"/>
        </w:rPr>
      </w:pPr>
      <w:r>
        <w:rPr>
          <w:rFonts w:hint="eastAsia" w:ascii="仿宋" w:hAnsi="仿宋" w:eastAsia="仿宋"/>
          <w:b/>
          <w:sz w:val="28"/>
          <w:szCs w:val="28"/>
        </w:rPr>
        <w:t>第二十条</w:t>
      </w:r>
      <w:r>
        <w:rPr>
          <w:rFonts w:hint="eastAsia" w:ascii="仿宋" w:hAnsi="仿宋" w:eastAsia="仿宋"/>
          <w:sz w:val="28"/>
          <w:szCs w:val="28"/>
        </w:rPr>
        <w:t>　项目负责人依据项目</w:t>
      </w:r>
      <w:r>
        <w:rPr>
          <w:rFonts w:hint="eastAsia" w:ascii="仿宋" w:hAnsi="仿宋" w:eastAsia="仿宋" w:cs="宋体"/>
          <w:kern w:val="0"/>
          <w:sz w:val="28"/>
          <w:szCs w:val="28"/>
        </w:rPr>
        <w:t>任务书（或</w:t>
      </w:r>
      <w:r>
        <w:rPr>
          <w:rFonts w:hint="eastAsia" w:ascii="仿宋" w:hAnsi="仿宋" w:eastAsia="仿宋"/>
          <w:sz w:val="28"/>
          <w:szCs w:val="28"/>
        </w:rPr>
        <w:t>立</w:t>
      </w:r>
      <w:r>
        <w:rPr>
          <w:rFonts w:hint="eastAsia" w:ascii="仿宋" w:hAnsi="仿宋" w:eastAsia="仿宋" w:cs="宋体"/>
          <w:kern w:val="0"/>
          <w:sz w:val="28"/>
          <w:szCs w:val="28"/>
        </w:rPr>
        <w:t>项通知书）、合同或类似文件，</w:t>
      </w:r>
      <w:r>
        <w:rPr>
          <w:rFonts w:hint="eastAsia" w:ascii="仿宋" w:hAnsi="仿宋" w:eastAsia="仿宋"/>
          <w:sz w:val="28"/>
          <w:szCs w:val="28"/>
        </w:rPr>
        <w:t>通过学校科研管理系统办理项目立项、预算填报手续，经费到账后办理来款认领手续。纵向项目及单笔到账经费</w:t>
      </w:r>
      <w:r>
        <w:rPr>
          <w:rFonts w:ascii="仿宋" w:hAnsi="仿宋" w:eastAsia="仿宋"/>
          <w:sz w:val="28"/>
          <w:szCs w:val="28"/>
        </w:rPr>
        <w:t>50</w:t>
      </w:r>
      <w:r>
        <w:rPr>
          <w:rFonts w:hint="eastAsia" w:ascii="仿宋" w:hAnsi="仿宋" w:eastAsia="仿宋"/>
          <w:sz w:val="28"/>
          <w:szCs w:val="28"/>
        </w:rPr>
        <w:t>万元以上的横向项目，经科研管理部门审核、财务处确认，按照“一题一户”的原则，实行专户管理与核算；同一单位委托、研究内容前后连续的横向项目经费可以同一账户管理与核算。</w:t>
      </w:r>
    </w:p>
    <w:p>
      <w:pPr>
        <w:adjustRightInd w:val="0"/>
        <w:snapToGrid w:val="0"/>
        <w:spacing w:line="480" w:lineRule="exact"/>
        <w:ind w:firstLine="562" w:firstLineChars="200"/>
        <w:rPr>
          <w:rFonts w:ascii="仿宋" w:hAnsi="仿宋" w:eastAsia="仿宋"/>
          <w:sz w:val="28"/>
          <w:szCs w:val="28"/>
        </w:rPr>
      </w:pPr>
      <w:r>
        <w:rPr>
          <w:rFonts w:hint="eastAsia" w:ascii="仿宋" w:hAnsi="仿宋" w:eastAsia="仿宋"/>
          <w:b/>
          <w:sz w:val="28"/>
          <w:szCs w:val="28"/>
        </w:rPr>
        <w:t>第二十一条　</w:t>
      </w:r>
      <w:r>
        <w:rPr>
          <w:rFonts w:hint="eastAsia" w:ascii="仿宋" w:hAnsi="仿宋" w:eastAsia="仿宋"/>
          <w:sz w:val="28"/>
          <w:szCs w:val="28"/>
        </w:rPr>
        <w:t>对于先开票据、后收款项的项目，须通过学校科研管理系统办理项目立项、借用票据及项目担保手续。借票人负责追缴应收款项或追回借用票据。款项到账后，按第二十</w:t>
      </w:r>
      <w:r>
        <w:rPr>
          <w:rFonts w:ascii="仿宋" w:hAnsi="仿宋" w:eastAsia="仿宋"/>
          <w:sz w:val="28"/>
          <w:szCs w:val="28"/>
        </w:rPr>
        <w:t>条</w:t>
      </w:r>
      <w:r>
        <w:rPr>
          <w:rFonts w:hint="eastAsia" w:ascii="仿宋" w:hAnsi="仿宋" w:eastAsia="仿宋"/>
          <w:sz w:val="28"/>
          <w:szCs w:val="28"/>
        </w:rPr>
        <w:t>办理有关手续。借用票据逾3个月款项仍未到账或未退回票据的，如担保项目确实无法用以抵冲票款，财务处从借票人工资中逐月扣取借票金额。</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第二十二条</w:t>
      </w:r>
      <w:r>
        <w:rPr>
          <w:rFonts w:hint="eastAsia" w:ascii="仿宋" w:hAnsi="仿宋" w:eastAsia="仿宋"/>
          <w:sz w:val="28"/>
          <w:szCs w:val="28"/>
        </w:rPr>
        <w:t>　严格经费外拨管理。</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多单位合作获得资助的纵向科研项目，应按合同约定，办理经费外拨手续；项目资助单位明确不能外拨经费的，或非合同约定的合作（或协作）单位，其发生的相关费用只能在学校报销，不得外拨。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横向项目外拨协作经费及为委托方代购仪器、设备、材料等费用合计不得超过到账经费的</w:t>
      </w:r>
      <w:r>
        <w:rPr>
          <w:rFonts w:ascii="仿宋" w:hAnsi="仿宋" w:eastAsia="仿宋"/>
          <w:sz w:val="28"/>
          <w:szCs w:val="28"/>
        </w:rPr>
        <w:t>30%</w:t>
      </w:r>
      <w:r>
        <w:rPr>
          <w:rFonts w:hint="eastAsia" w:ascii="仿宋" w:hAnsi="仿宋" w:eastAsia="仿宋"/>
          <w:sz w:val="28"/>
          <w:szCs w:val="28"/>
        </w:rPr>
        <w:t>。</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外拨协作经费不计入科研管理费、科研绩效费计算基数。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科研经费外拨须经科研管理部门和财务处共同审批。合作方为企业单位的，须提供企业法人营业执照、组织机构代码证、税务登记证等相关资料；合作方为学校、科研院所等事业单位的，须提供事业单位法人资格证书、组织机构代码证等相关资料。</w:t>
      </w:r>
    </w:p>
    <w:p>
      <w:pPr>
        <w:adjustRightInd w:val="0"/>
        <w:snapToGrid w:val="0"/>
        <w:spacing w:line="480" w:lineRule="exact"/>
        <w:ind w:firstLine="562" w:firstLineChars="200"/>
        <w:rPr>
          <w:rFonts w:ascii="仿宋" w:hAnsi="仿宋" w:eastAsia="仿宋"/>
          <w:sz w:val="28"/>
          <w:szCs w:val="28"/>
        </w:rPr>
      </w:pPr>
      <w:r>
        <w:rPr>
          <w:rFonts w:hint="eastAsia" w:ascii="仿宋" w:hAnsi="仿宋" w:eastAsia="仿宋"/>
          <w:b/>
          <w:sz w:val="28"/>
          <w:szCs w:val="28"/>
        </w:rPr>
        <w:t>第二十三条　</w:t>
      </w:r>
      <w:r>
        <w:rPr>
          <w:rFonts w:hint="eastAsia" w:ascii="仿宋" w:hAnsi="仿宋" w:eastAsia="仿宋"/>
          <w:sz w:val="28"/>
          <w:szCs w:val="28"/>
        </w:rPr>
        <w:t>科研人员应严格按照预算批复或项目合同（或任务书）的支出范围和标准，依法依规使用项目资金：</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严禁违规将科研经费转拨、转移到利益相关的单位或个人，或借科研合作之名，将科研经费挪作</w:t>
      </w:r>
      <w:r>
        <w:rPr>
          <w:rFonts w:hint="eastAsia" w:ascii="仿宋" w:hAnsi="仿宋" w:eastAsia="仿宋"/>
          <w:sz w:val="28"/>
          <w:szCs w:val="28"/>
        </w:rPr>
        <w:t>他</w:t>
      </w:r>
      <w:r>
        <w:rPr>
          <w:rFonts w:hint="eastAsia" w:ascii="仿宋" w:hAnsi="仿宋" w:eastAsia="仿宋"/>
          <w:sz w:val="28"/>
          <w:szCs w:val="28"/>
        </w:rPr>
        <w:t>用；</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严禁擅自调整外拨经费预算；</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严禁以虚列、伪造名单等任何方式虚报冒领劳务费和专家咨询费，或虚构测试化验内容、提高测试化验支出标准等方式违规开支测试化验加工费；</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严禁以虚假合同、虚假票据等任何形式虚构经济业务，挪用、侵占、套取、骗取科研经费；</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严禁在科研经费中报销个人家庭消费支出；</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（六）</w:t>
      </w:r>
      <w:r>
        <w:rPr>
          <w:rFonts w:hint="eastAsia" w:ascii="仿宋" w:hAnsi="仿宋" w:eastAsia="仿宋"/>
          <w:sz w:val="28"/>
          <w:szCs w:val="28"/>
        </w:rPr>
        <w:t>严禁购买与科研项目无关的设备、材料；</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（七）</w:t>
      </w:r>
      <w:r>
        <w:rPr>
          <w:rFonts w:hint="eastAsia" w:ascii="仿宋" w:hAnsi="仿宋" w:eastAsia="仿宋"/>
          <w:sz w:val="28"/>
          <w:szCs w:val="28"/>
        </w:rPr>
        <w:t>严禁开支非科研用房物业管理费、娱乐场所消费、旅游费用、福利费用、罚款、捐款、赞助以及其他与项目研究活动无关的费用；</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（八）</w:t>
      </w:r>
      <w:r>
        <w:rPr>
          <w:rFonts w:hint="eastAsia" w:ascii="仿宋" w:hAnsi="仿宋" w:eastAsia="仿宋"/>
          <w:sz w:val="28"/>
          <w:szCs w:val="28"/>
        </w:rPr>
        <w:t>严禁要求会计人员随意调账变动支出、随意修改记账凭证、以表代账，应付财务审计和检查；</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（九）</w:t>
      </w:r>
      <w:r>
        <w:rPr>
          <w:rFonts w:hint="eastAsia" w:ascii="仿宋" w:hAnsi="仿宋" w:eastAsia="仿宋"/>
          <w:sz w:val="28"/>
          <w:szCs w:val="28"/>
        </w:rPr>
        <w:t>严禁设立“小金库”。</w:t>
      </w:r>
    </w:p>
    <w:p>
      <w:pPr>
        <w:adjustRightInd w:val="0"/>
        <w:snapToGrid w:val="0"/>
        <w:spacing w:line="480" w:lineRule="exact"/>
        <w:ind w:firstLine="562" w:firstLineChars="200"/>
        <w:rPr>
          <w:rFonts w:ascii="仿宋" w:hAnsi="仿宋" w:eastAsia="仿宋"/>
          <w:sz w:val="28"/>
          <w:szCs w:val="28"/>
        </w:rPr>
      </w:pPr>
      <w:r>
        <w:rPr>
          <w:rFonts w:hint="eastAsia" w:ascii="仿宋" w:hAnsi="仿宋" w:eastAsia="仿宋"/>
          <w:b/>
          <w:sz w:val="28"/>
          <w:szCs w:val="28"/>
        </w:rPr>
        <w:t>第二十四条</w:t>
      </w:r>
      <w:r>
        <w:rPr>
          <w:rFonts w:hint="eastAsia" w:ascii="仿宋" w:hAnsi="仿宋" w:eastAsia="仿宋"/>
          <w:sz w:val="28"/>
          <w:szCs w:val="28"/>
        </w:rPr>
        <w:t>　项目实施过程中支付给单位的费用，一律采用银行转账方式结算。差旅费、劳务费、专家咨询费等支付给个人的费用，原则上以非现金方式支付至本人银行卡。</w:t>
      </w:r>
    </w:p>
    <w:p>
      <w:pPr>
        <w:adjustRightInd w:val="0"/>
        <w:snapToGrid w:val="0"/>
        <w:spacing w:line="480" w:lineRule="exact"/>
        <w:ind w:firstLine="562" w:firstLineChars="200"/>
        <w:rPr>
          <w:rFonts w:ascii="仿宋" w:hAnsi="仿宋" w:eastAsia="仿宋"/>
          <w:sz w:val="28"/>
          <w:szCs w:val="28"/>
        </w:rPr>
      </w:pPr>
      <w:r>
        <w:rPr>
          <w:rFonts w:hint="eastAsia" w:ascii="仿宋" w:hAnsi="仿宋" w:eastAsia="仿宋"/>
          <w:b/>
          <w:sz w:val="28"/>
          <w:szCs w:val="28"/>
        </w:rPr>
        <w:t>第二十五条</w:t>
      </w:r>
      <w:r>
        <w:rPr>
          <w:rFonts w:hint="eastAsia" w:ascii="仿宋" w:hAnsi="仿宋" w:eastAsia="仿宋"/>
          <w:sz w:val="28"/>
          <w:szCs w:val="28"/>
        </w:rPr>
        <w:t>　纵向科研经费支出应符合：</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直接费用</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⒈劳务费用于支付项目组成员中无工资性收入人员的劳务性费用，以及临时聘用人员的劳务性费用和社会保险费用。</w:t>
      </w:r>
    </w:p>
    <w:p>
      <w:pPr>
        <w:adjustRightInd w:val="0"/>
        <w:snapToGrid w:val="0"/>
        <w:spacing w:line="480" w:lineRule="exact"/>
        <w:ind w:firstLine="560" w:firstLineChars="200"/>
        <w:rPr>
          <w:rFonts w:ascii="仿宋" w:hAnsi="仿宋" w:eastAsia="仿宋"/>
          <w:sz w:val="28"/>
          <w:szCs w:val="28"/>
        </w:rPr>
      </w:pPr>
      <w:bookmarkStart w:id="2" w:name="OLE_LINK5"/>
      <w:bookmarkStart w:id="3" w:name="OLE_LINK6"/>
      <w:r>
        <w:rPr>
          <w:rFonts w:hint="eastAsia" w:ascii="仿宋" w:hAnsi="仿宋" w:eastAsia="仿宋"/>
          <w:sz w:val="28"/>
          <w:szCs w:val="28"/>
        </w:rPr>
        <w:t>⒉会议费、差旅费和国际合作与交流费</w:t>
      </w:r>
      <w:bookmarkEnd w:id="2"/>
      <w:bookmarkEnd w:id="3"/>
      <w:r>
        <w:rPr>
          <w:rFonts w:hint="eastAsia" w:ascii="仿宋" w:hAnsi="仿宋" w:eastAsia="仿宋"/>
          <w:sz w:val="28"/>
          <w:szCs w:val="28"/>
        </w:rPr>
        <w:t>3项经费预算可调剂使用，但不得突破3项预算总额。</w:t>
      </w:r>
    </w:p>
    <w:p>
      <w:pPr>
        <w:adjustRightInd w:val="0"/>
        <w:snapToGrid w:val="0"/>
        <w:spacing w:line="480" w:lineRule="exact"/>
        <w:ind w:left="560" w:firstLine="0" w:firstLineChars="0"/>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自然科学类纵向项目间接费用</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项目资助单位对间接费用有专门规定，</w:t>
      </w:r>
      <w:r>
        <w:rPr>
          <w:rFonts w:ascii="仿宋" w:hAnsi="仿宋" w:eastAsia="仿宋"/>
          <w:sz w:val="28"/>
          <w:szCs w:val="28"/>
        </w:rPr>
        <w:t>按相关</w:t>
      </w:r>
      <w:r>
        <w:rPr>
          <w:rFonts w:hint="eastAsia" w:ascii="仿宋" w:hAnsi="仿宋" w:eastAsia="仿宋"/>
          <w:sz w:val="28"/>
          <w:szCs w:val="28"/>
        </w:rPr>
        <w:t>规定执行。一般由财务处根据项目预算，以</w:t>
      </w:r>
      <w:bookmarkStart w:id="4" w:name="OLE_LINK7"/>
      <w:bookmarkStart w:id="5" w:name="OLE_LINK8"/>
      <w:r>
        <w:rPr>
          <w:rFonts w:hint="eastAsia" w:ascii="仿宋" w:hAnsi="仿宋" w:eastAsia="仿宋"/>
          <w:sz w:val="28"/>
          <w:szCs w:val="28"/>
        </w:rPr>
        <w:t>实际到账经费</w:t>
      </w:r>
      <w:bookmarkEnd w:id="4"/>
      <w:bookmarkEnd w:id="5"/>
      <w:r>
        <w:rPr>
          <w:rFonts w:hint="eastAsia" w:ascii="仿宋" w:hAnsi="仿宋" w:eastAsia="仿宋"/>
          <w:sz w:val="28"/>
          <w:szCs w:val="28"/>
        </w:rPr>
        <w:t>计算提取，统筹管理和使用。未以间接费用形式管理的项目，视情况参照下列办法执行：</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⒈科研管理费：</w:t>
      </w:r>
      <w:r>
        <w:rPr>
          <w:rFonts w:ascii="仿宋" w:hAnsi="仿宋" w:eastAsia="仿宋"/>
          <w:sz w:val="28"/>
          <w:szCs w:val="28"/>
        </w:rPr>
        <w:t>200</w:t>
      </w:r>
      <w:r>
        <w:rPr>
          <w:rFonts w:hint="eastAsia" w:ascii="仿宋" w:hAnsi="仿宋" w:eastAsia="仿宋"/>
          <w:sz w:val="28"/>
          <w:szCs w:val="28"/>
        </w:rPr>
        <w:t>万元（含）以下部分提取</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200</w:t>
      </w:r>
      <w:r>
        <w:rPr>
          <w:rFonts w:hint="eastAsia" w:ascii="仿宋" w:hAnsi="仿宋" w:eastAsia="仿宋"/>
          <w:sz w:val="28"/>
          <w:szCs w:val="28"/>
        </w:rPr>
        <w:t>万元以上、</w:t>
      </w:r>
      <w:r>
        <w:rPr>
          <w:rFonts w:ascii="仿宋" w:hAnsi="仿宋" w:eastAsia="仿宋"/>
          <w:sz w:val="28"/>
          <w:szCs w:val="28"/>
        </w:rPr>
        <w:t>500</w:t>
      </w:r>
      <w:r>
        <w:rPr>
          <w:rFonts w:hint="eastAsia" w:ascii="仿宋" w:hAnsi="仿宋" w:eastAsia="仿宋"/>
          <w:sz w:val="28"/>
          <w:szCs w:val="28"/>
        </w:rPr>
        <w:t>万元（含）以下部分提取</w:t>
      </w:r>
      <w:r>
        <w:rPr>
          <w:rFonts w:ascii="仿宋" w:hAnsi="仿宋" w:eastAsia="仿宋"/>
          <w:sz w:val="28"/>
          <w:szCs w:val="28"/>
        </w:rPr>
        <w:t>4.5%</w:t>
      </w:r>
      <w:r>
        <w:rPr>
          <w:rFonts w:hint="eastAsia" w:ascii="仿宋" w:hAnsi="仿宋" w:eastAsia="仿宋"/>
          <w:sz w:val="28"/>
          <w:szCs w:val="28"/>
        </w:rPr>
        <w:t>，</w:t>
      </w:r>
      <w:r>
        <w:rPr>
          <w:rFonts w:ascii="仿宋" w:hAnsi="仿宋" w:eastAsia="仿宋"/>
          <w:sz w:val="28"/>
          <w:szCs w:val="28"/>
        </w:rPr>
        <w:t>500</w:t>
      </w:r>
      <w:r>
        <w:rPr>
          <w:rFonts w:hint="eastAsia" w:ascii="仿宋" w:hAnsi="仿宋" w:eastAsia="仿宋"/>
          <w:sz w:val="28"/>
          <w:szCs w:val="28"/>
        </w:rPr>
        <w:t>万元以上、</w:t>
      </w:r>
      <w:r>
        <w:rPr>
          <w:rFonts w:ascii="仿宋" w:hAnsi="仿宋" w:eastAsia="仿宋"/>
          <w:sz w:val="28"/>
          <w:szCs w:val="28"/>
        </w:rPr>
        <w:t>800</w:t>
      </w:r>
      <w:r>
        <w:rPr>
          <w:rFonts w:hint="eastAsia" w:ascii="仿宋" w:hAnsi="仿宋" w:eastAsia="仿宋"/>
          <w:sz w:val="28"/>
          <w:szCs w:val="28"/>
        </w:rPr>
        <w:t>万元（含）以下部分提取</w:t>
      </w:r>
      <w:r>
        <w:rPr>
          <w:rFonts w:ascii="仿宋" w:hAnsi="仿宋" w:eastAsia="仿宋"/>
          <w:sz w:val="28"/>
          <w:szCs w:val="28"/>
        </w:rPr>
        <w:t>4%</w:t>
      </w:r>
      <w:r>
        <w:rPr>
          <w:rFonts w:hint="eastAsia" w:ascii="仿宋" w:hAnsi="仿宋" w:eastAsia="仿宋"/>
          <w:sz w:val="28"/>
          <w:szCs w:val="28"/>
        </w:rPr>
        <w:t>，</w:t>
      </w:r>
      <w:r>
        <w:rPr>
          <w:rFonts w:ascii="仿宋" w:hAnsi="仿宋" w:eastAsia="仿宋"/>
          <w:sz w:val="28"/>
          <w:szCs w:val="28"/>
        </w:rPr>
        <w:t>800</w:t>
      </w:r>
      <w:r>
        <w:rPr>
          <w:rFonts w:hint="eastAsia" w:ascii="仿宋" w:hAnsi="仿宋" w:eastAsia="仿宋"/>
          <w:sz w:val="28"/>
          <w:szCs w:val="28"/>
        </w:rPr>
        <w:t>万元以上部分提取</w:t>
      </w:r>
      <w:r>
        <w:rPr>
          <w:rFonts w:ascii="仿宋" w:hAnsi="仿宋" w:eastAsia="仿宋"/>
          <w:sz w:val="28"/>
          <w:szCs w:val="28"/>
        </w:rPr>
        <w:t>3.5%</w:t>
      </w:r>
      <w:r>
        <w:rPr>
          <w:rFonts w:hint="eastAsia" w:ascii="仿宋" w:hAnsi="仿宋" w:eastAsia="仿宋"/>
          <w:sz w:val="28"/>
          <w:szCs w:val="28"/>
        </w:rPr>
        <w:t>。上</w:t>
      </w:r>
      <w:r>
        <w:rPr>
          <w:rFonts w:ascii="仿宋" w:hAnsi="仿宋" w:eastAsia="仿宋"/>
          <w:sz w:val="28"/>
          <w:szCs w:val="28"/>
        </w:rPr>
        <w:t>级另有规定的</w:t>
      </w:r>
      <w:r>
        <w:rPr>
          <w:rFonts w:hint="eastAsia" w:ascii="仿宋" w:hAnsi="仿宋" w:eastAsia="仿宋"/>
          <w:sz w:val="28"/>
          <w:szCs w:val="28"/>
        </w:rPr>
        <w:t>，</w:t>
      </w:r>
      <w:r>
        <w:rPr>
          <w:rFonts w:ascii="仿宋" w:hAnsi="仿宋" w:eastAsia="仿宋"/>
          <w:sz w:val="28"/>
          <w:szCs w:val="28"/>
        </w:rPr>
        <w:t>从其规定。</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对于年度科研管理工作考核合格的学院，学校按学院所辖纵向项目科研管理费的</w:t>
      </w:r>
      <w:r>
        <w:rPr>
          <w:rFonts w:ascii="仿宋" w:hAnsi="仿宋" w:eastAsia="仿宋"/>
          <w:sz w:val="28"/>
          <w:szCs w:val="28"/>
        </w:rPr>
        <w:t>40%</w:t>
      </w:r>
      <w:r>
        <w:rPr>
          <w:rFonts w:hint="eastAsia" w:ascii="仿宋" w:hAnsi="仿宋" w:eastAsia="仿宋"/>
          <w:sz w:val="28"/>
          <w:szCs w:val="28"/>
        </w:rPr>
        <w:t>给予奖励，补充其科研发展基金。</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⒉科研绩效费：按直接费用减去设备购置费后不超过</w:t>
      </w:r>
      <w:r>
        <w:rPr>
          <w:rFonts w:ascii="仿宋" w:hAnsi="仿宋" w:eastAsia="仿宋"/>
          <w:sz w:val="28"/>
          <w:szCs w:val="28"/>
        </w:rPr>
        <w:t>5%</w:t>
      </w:r>
      <w:r>
        <w:rPr>
          <w:rFonts w:hint="eastAsia" w:ascii="仿宋" w:hAnsi="仿宋" w:eastAsia="仿宋"/>
          <w:sz w:val="28"/>
          <w:szCs w:val="28"/>
        </w:rPr>
        <w:t>提取，纳入项目负责人自主创新基金账户统筹管理、使用。上</w:t>
      </w:r>
      <w:r>
        <w:rPr>
          <w:rFonts w:ascii="仿宋" w:hAnsi="仿宋" w:eastAsia="仿宋"/>
          <w:sz w:val="28"/>
          <w:szCs w:val="28"/>
        </w:rPr>
        <w:t>级另有规定的</w:t>
      </w:r>
      <w:r>
        <w:rPr>
          <w:rFonts w:hint="eastAsia" w:ascii="仿宋" w:hAnsi="仿宋" w:eastAsia="仿宋"/>
          <w:sz w:val="28"/>
          <w:szCs w:val="28"/>
        </w:rPr>
        <w:t>，</w:t>
      </w:r>
      <w:r>
        <w:rPr>
          <w:rFonts w:ascii="仿宋" w:hAnsi="仿宋" w:eastAsia="仿宋"/>
          <w:sz w:val="28"/>
          <w:szCs w:val="28"/>
        </w:rPr>
        <w:t>从其规定。</w:t>
      </w:r>
      <w:bookmarkStart w:id="8" w:name="_GoBack"/>
      <w:bookmarkEnd w:id="8"/>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⒊科研条件支撑费：即间接费用扣除科研管理费和科研绩效费后的部分。其中：20</w:t>
      </w:r>
      <w:r>
        <w:rPr>
          <w:rFonts w:ascii="仿宋" w:hAnsi="仿宋" w:eastAsia="仿宋"/>
          <w:sz w:val="28"/>
          <w:szCs w:val="28"/>
        </w:rPr>
        <w:t>%</w:t>
      </w:r>
      <w:r>
        <w:rPr>
          <w:rFonts w:hint="eastAsia" w:ascii="仿宋" w:hAnsi="仿宋" w:eastAsia="仿宋"/>
          <w:sz w:val="28"/>
          <w:szCs w:val="28"/>
        </w:rPr>
        <w:t>作为</w:t>
      </w:r>
      <w:r>
        <w:rPr>
          <w:rFonts w:ascii="仿宋" w:hAnsi="仿宋" w:eastAsia="仿宋"/>
          <w:sz w:val="28"/>
          <w:szCs w:val="28"/>
        </w:rPr>
        <w:t>资源占用费，</w:t>
      </w:r>
      <w:r>
        <w:rPr>
          <w:rFonts w:hint="eastAsia" w:ascii="仿宋" w:hAnsi="仿宋" w:eastAsia="仿宋"/>
          <w:sz w:val="28"/>
          <w:szCs w:val="28"/>
        </w:rPr>
        <w:t>用于学校公共支出；其余纳入学校科研发展基金账户统筹管理、使用。</w:t>
      </w:r>
    </w:p>
    <w:p>
      <w:pPr>
        <w:adjustRightInd w:val="0"/>
        <w:snapToGrid w:val="0"/>
        <w:spacing w:line="480" w:lineRule="exact"/>
        <w:ind w:left="560" w:firstLine="0" w:firstLineChars="0"/>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人文社会科学类纵向项目间接费用</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⒈科研管理费：除有特殊规定外，一般按照到账经费的</w:t>
      </w:r>
      <w:r>
        <w:rPr>
          <w:rFonts w:ascii="仿宋" w:hAnsi="仿宋" w:eastAsia="仿宋"/>
          <w:sz w:val="28"/>
          <w:szCs w:val="28"/>
        </w:rPr>
        <w:t>3%</w:t>
      </w:r>
      <w:r>
        <w:rPr>
          <w:rFonts w:hint="eastAsia" w:ascii="仿宋" w:hAnsi="仿宋" w:eastAsia="仿宋"/>
          <w:sz w:val="28"/>
          <w:szCs w:val="28"/>
        </w:rPr>
        <w:t>提取，由学校统一管理和使用。上</w:t>
      </w:r>
      <w:r>
        <w:rPr>
          <w:rFonts w:ascii="仿宋" w:hAnsi="仿宋" w:eastAsia="仿宋"/>
          <w:sz w:val="28"/>
          <w:szCs w:val="28"/>
        </w:rPr>
        <w:t>级另有规定的</w:t>
      </w:r>
      <w:r>
        <w:rPr>
          <w:rFonts w:hint="eastAsia" w:ascii="仿宋" w:hAnsi="仿宋" w:eastAsia="仿宋"/>
          <w:sz w:val="28"/>
          <w:szCs w:val="28"/>
        </w:rPr>
        <w:t>，</w:t>
      </w:r>
      <w:r>
        <w:rPr>
          <w:rFonts w:ascii="仿宋" w:hAnsi="仿宋" w:eastAsia="仿宋"/>
          <w:sz w:val="28"/>
          <w:szCs w:val="28"/>
        </w:rPr>
        <w:t>从其规定。</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⒉科研绩效费：按直接费用减去设备购置费后不超过</w:t>
      </w:r>
      <w:r>
        <w:rPr>
          <w:rFonts w:ascii="仿宋" w:hAnsi="仿宋" w:eastAsia="仿宋"/>
          <w:sz w:val="28"/>
          <w:szCs w:val="28"/>
        </w:rPr>
        <w:t>5%</w:t>
      </w:r>
      <w:r>
        <w:rPr>
          <w:rFonts w:hint="eastAsia" w:ascii="仿宋" w:hAnsi="仿宋" w:eastAsia="仿宋"/>
          <w:sz w:val="28"/>
          <w:szCs w:val="28"/>
        </w:rPr>
        <w:t>提取，纳入项目负责人自主创新基金账户统筹管理、使用。上</w:t>
      </w:r>
      <w:r>
        <w:rPr>
          <w:rFonts w:ascii="仿宋" w:hAnsi="仿宋" w:eastAsia="仿宋"/>
          <w:sz w:val="28"/>
          <w:szCs w:val="28"/>
        </w:rPr>
        <w:t>级另有规定的</w:t>
      </w:r>
      <w:r>
        <w:rPr>
          <w:rFonts w:hint="eastAsia" w:ascii="仿宋" w:hAnsi="仿宋" w:eastAsia="仿宋"/>
          <w:sz w:val="28"/>
          <w:szCs w:val="28"/>
          <w:lang w:val="en-US" w:eastAsia="zh-CN"/>
        </w:rPr>
        <w:t>,</w:t>
      </w:r>
      <w:r>
        <w:rPr>
          <w:rFonts w:ascii="仿宋" w:hAnsi="仿宋" w:eastAsia="仿宋"/>
          <w:sz w:val="28"/>
          <w:szCs w:val="28"/>
        </w:rPr>
        <w:t>从其规定。</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⒊项目审计费：按有关审计合同执行。</w:t>
      </w:r>
    </w:p>
    <w:p>
      <w:pPr>
        <w:adjustRightInd w:val="0"/>
        <w:snapToGrid w:val="0"/>
        <w:spacing w:line="480" w:lineRule="exact"/>
        <w:ind w:firstLine="562" w:firstLineChars="200"/>
        <w:rPr>
          <w:rFonts w:ascii="仿宋" w:hAnsi="仿宋" w:eastAsia="仿宋"/>
          <w:sz w:val="28"/>
          <w:szCs w:val="28"/>
        </w:rPr>
      </w:pPr>
      <w:r>
        <w:rPr>
          <w:rFonts w:hint="eastAsia" w:ascii="仿宋" w:hAnsi="仿宋" w:eastAsia="仿宋"/>
          <w:b/>
          <w:sz w:val="28"/>
          <w:szCs w:val="28"/>
        </w:rPr>
        <w:t>第二十六条　</w:t>
      </w:r>
      <w:r>
        <w:rPr>
          <w:rFonts w:hint="eastAsia" w:ascii="仿宋" w:hAnsi="仿宋" w:eastAsia="仿宋"/>
          <w:sz w:val="28"/>
          <w:szCs w:val="28"/>
        </w:rPr>
        <w:t>横向科研经费支出应符合：</w:t>
      </w:r>
    </w:p>
    <w:p>
      <w:pPr>
        <w:pStyle w:val="14"/>
        <w:numPr>
          <w:ilvl w:val="0"/>
          <w:numId w:val="0"/>
        </w:numPr>
        <w:adjustRightInd w:val="0"/>
        <w:snapToGrid w:val="0"/>
        <w:spacing w:line="480" w:lineRule="exact"/>
        <w:ind w:left="560" w:firstLine="0" w:firstLineChars="0"/>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直接费用</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横向科研直接费用在执行国家法律法规和上级、学校有关财经纪律、财务规章制度的前提下，原则上按合同约定的经费用途、开支范围和标准执行。除可参照纵向科研直接费用支出范围，还可列支与科研项目有关的通讯费、汽车燃油燃气费、过路费、汽车维护费、招待费等。</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不得用于机动车购置、房产购置、投资活动及其他涉及安全、财产或债务纠纷的支出。</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自然科学类横向项目间接费用</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⒈科研管理费：按实</w:t>
      </w:r>
      <w:bookmarkStart w:id="6" w:name="OLE_LINK3"/>
      <w:bookmarkStart w:id="7" w:name="OLE_LINK4"/>
      <w:r>
        <w:rPr>
          <w:rFonts w:hint="eastAsia" w:ascii="仿宋" w:hAnsi="仿宋" w:eastAsia="仿宋"/>
          <w:sz w:val="28"/>
          <w:szCs w:val="28"/>
        </w:rPr>
        <w:t>际到账经费</w:t>
      </w:r>
      <w:bookmarkEnd w:id="6"/>
      <w:bookmarkEnd w:id="7"/>
      <w:r>
        <w:rPr>
          <w:rFonts w:hint="eastAsia" w:ascii="仿宋" w:hAnsi="仿宋" w:eastAsia="仿宋"/>
          <w:sz w:val="28"/>
          <w:szCs w:val="28"/>
        </w:rPr>
        <w:t>提取。其中：</w:t>
      </w:r>
      <w:r>
        <w:rPr>
          <w:rFonts w:ascii="仿宋" w:hAnsi="仿宋" w:eastAsia="仿宋"/>
          <w:sz w:val="28"/>
          <w:szCs w:val="28"/>
        </w:rPr>
        <w:t>200</w:t>
      </w:r>
      <w:r>
        <w:rPr>
          <w:rFonts w:hint="eastAsia" w:ascii="仿宋" w:hAnsi="仿宋" w:eastAsia="仿宋"/>
          <w:sz w:val="28"/>
          <w:szCs w:val="28"/>
        </w:rPr>
        <w:t>万元（含）以下部分学校提取</w:t>
      </w:r>
      <w:r>
        <w:rPr>
          <w:rFonts w:ascii="仿宋" w:hAnsi="仿宋" w:eastAsia="仿宋"/>
          <w:sz w:val="28"/>
          <w:szCs w:val="28"/>
        </w:rPr>
        <w:t>3%</w:t>
      </w:r>
      <w:r>
        <w:rPr>
          <w:rFonts w:hint="eastAsia" w:ascii="仿宋" w:hAnsi="仿宋" w:eastAsia="仿宋"/>
          <w:sz w:val="28"/>
          <w:szCs w:val="28"/>
        </w:rPr>
        <w:t>，学院提取</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200</w:t>
      </w:r>
      <w:r>
        <w:rPr>
          <w:rFonts w:hint="eastAsia" w:ascii="仿宋" w:hAnsi="仿宋" w:eastAsia="仿宋"/>
          <w:sz w:val="28"/>
          <w:szCs w:val="28"/>
        </w:rPr>
        <w:t>万元以上部分学校提取</w:t>
      </w:r>
      <w:r>
        <w:rPr>
          <w:rFonts w:ascii="仿宋" w:hAnsi="仿宋" w:eastAsia="仿宋"/>
          <w:sz w:val="28"/>
          <w:szCs w:val="28"/>
        </w:rPr>
        <w:t>2%</w:t>
      </w:r>
      <w:r>
        <w:rPr>
          <w:rFonts w:hint="eastAsia" w:ascii="仿宋" w:hAnsi="仿宋" w:eastAsia="仿宋"/>
          <w:sz w:val="28"/>
          <w:szCs w:val="28"/>
        </w:rPr>
        <w:t>，学院提取</w:t>
      </w:r>
      <w:r>
        <w:rPr>
          <w:rFonts w:ascii="仿宋" w:hAnsi="仿宋" w:eastAsia="仿宋"/>
          <w:sz w:val="28"/>
          <w:szCs w:val="28"/>
        </w:rPr>
        <w:t>1%</w:t>
      </w:r>
      <w:r>
        <w:rPr>
          <w:rFonts w:hint="eastAsia" w:ascii="仿宋" w:hAnsi="仿宋" w:eastAsia="仿宋"/>
          <w:sz w:val="28"/>
          <w:szCs w:val="28"/>
        </w:rPr>
        <w:t>。</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⒉科研绩效费：按不超过实际到账经费的</w:t>
      </w:r>
      <w:r>
        <w:rPr>
          <w:rFonts w:ascii="仿宋" w:hAnsi="仿宋" w:eastAsia="仿宋"/>
          <w:sz w:val="28"/>
          <w:szCs w:val="28"/>
        </w:rPr>
        <w:t>35%</w:t>
      </w:r>
      <w:r>
        <w:rPr>
          <w:rFonts w:hint="eastAsia" w:ascii="仿宋" w:hAnsi="仿宋" w:eastAsia="仿宋"/>
          <w:sz w:val="28"/>
          <w:szCs w:val="28"/>
        </w:rPr>
        <w:t>提取。其中，</w:t>
      </w:r>
      <w:r>
        <w:rPr>
          <w:rFonts w:ascii="仿宋" w:hAnsi="仿宋" w:eastAsia="仿宋"/>
          <w:sz w:val="28"/>
          <w:szCs w:val="28"/>
        </w:rPr>
        <w:t>15%</w:t>
      </w:r>
      <w:r>
        <w:rPr>
          <w:rFonts w:hint="eastAsia" w:ascii="仿宋" w:hAnsi="仿宋" w:eastAsia="仿宋"/>
          <w:sz w:val="28"/>
          <w:szCs w:val="28"/>
        </w:rPr>
        <w:t>在经费到账当年末提取，</w:t>
      </w:r>
      <w:r>
        <w:rPr>
          <w:rFonts w:ascii="仿宋" w:hAnsi="仿宋" w:eastAsia="仿宋"/>
          <w:sz w:val="28"/>
          <w:szCs w:val="28"/>
        </w:rPr>
        <w:t>20%</w:t>
      </w:r>
      <w:r>
        <w:rPr>
          <w:rFonts w:hint="eastAsia" w:ascii="仿宋" w:hAnsi="仿宋" w:eastAsia="仿宋"/>
          <w:sz w:val="28"/>
          <w:szCs w:val="28"/>
        </w:rPr>
        <w:t>在项目结题时提取。</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⒊税费：由财务处按税法规定代扣代缴。符合免（退）税条件的项目，可在科研管理部门和财务处协助下，由项目负责人向税务机关申请免（退）税。</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人文社会科学类横向项目间接费用</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⒈科研管理费：学校按</w:t>
      </w:r>
      <w:r>
        <w:rPr>
          <w:rFonts w:ascii="仿宋" w:hAnsi="仿宋" w:eastAsia="仿宋"/>
          <w:sz w:val="28"/>
          <w:szCs w:val="28"/>
        </w:rPr>
        <w:t>3%</w:t>
      </w:r>
      <w:r>
        <w:rPr>
          <w:rFonts w:hint="eastAsia" w:ascii="仿宋" w:hAnsi="仿宋" w:eastAsia="仿宋"/>
          <w:sz w:val="28"/>
          <w:szCs w:val="28"/>
        </w:rPr>
        <w:t>提取。</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⒉科研绩效费：按实际到账经费</w:t>
      </w:r>
      <w:r>
        <w:rPr>
          <w:rFonts w:ascii="仿宋" w:hAnsi="仿宋" w:eastAsia="仿宋"/>
          <w:sz w:val="28"/>
          <w:szCs w:val="28"/>
        </w:rPr>
        <w:t>30%</w:t>
      </w:r>
      <w:r>
        <w:rPr>
          <w:rFonts w:hint="eastAsia" w:ascii="仿宋" w:hAnsi="仿宋" w:eastAsia="仿宋"/>
          <w:sz w:val="28"/>
          <w:szCs w:val="28"/>
        </w:rPr>
        <w:t>提取。其中，</w:t>
      </w:r>
      <w:r>
        <w:rPr>
          <w:rFonts w:ascii="仿宋" w:hAnsi="仿宋" w:eastAsia="仿宋"/>
          <w:sz w:val="28"/>
          <w:szCs w:val="28"/>
        </w:rPr>
        <w:t>15%</w:t>
      </w:r>
      <w:r>
        <w:rPr>
          <w:rFonts w:hint="eastAsia" w:ascii="仿宋" w:hAnsi="仿宋" w:eastAsia="仿宋"/>
          <w:sz w:val="28"/>
          <w:szCs w:val="28"/>
        </w:rPr>
        <w:t>在经费到账当年末提取，其余部分在科研项目结项后，由项目负责人凭结项成果，经人文社科处审核通过后提取。</w:t>
      </w:r>
    </w:p>
    <w:p>
      <w:pPr>
        <w:adjustRightInd w:val="0"/>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学校配套科研经费的绩效支出，参照横向科研经费绩效支出管理办法。</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第二十七条</w:t>
      </w:r>
      <w:r>
        <w:rPr>
          <w:rFonts w:hint="eastAsia" w:ascii="仿宋" w:hAnsi="仿宋" w:eastAsia="仿宋"/>
          <w:sz w:val="28"/>
          <w:szCs w:val="28"/>
        </w:rPr>
        <w:t>　通过招投标竞争立项的科研项目，项目投标保证金可从个人自主创新基金中垫付。项目负责人应提供项目招标文件通知、投标书基本信息等相关材料，报科研管理部门和财务处审批。</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第二十八条</w:t>
      </w:r>
      <w:r>
        <w:rPr>
          <w:rFonts w:hint="eastAsia" w:ascii="仿宋" w:hAnsi="仿宋" w:eastAsia="仿宋"/>
          <w:sz w:val="28"/>
          <w:szCs w:val="28"/>
        </w:rPr>
        <w:t>　科研经费使用在实行项目负责人负责制的基础上，按下列审批权限执行：</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单笔一次性在</w:t>
      </w:r>
      <w:r>
        <w:rPr>
          <w:rFonts w:ascii="仿宋" w:hAnsi="仿宋" w:eastAsia="仿宋"/>
          <w:sz w:val="28"/>
          <w:szCs w:val="28"/>
        </w:rPr>
        <w:t>1</w:t>
      </w:r>
      <w:r>
        <w:rPr>
          <w:rFonts w:hint="eastAsia" w:ascii="仿宋" w:hAnsi="仿宋" w:eastAsia="仿宋"/>
          <w:sz w:val="28"/>
          <w:szCs w:val="28"/>
        </w:rPr>
        <w:t>万元以下的支出，由项目负责人审批；</w:t>
      </w:r>
      <w:r>
        <w:rPr>
          <w:rFonts w:ascii="仿宋" w:hAnsi="仿宋" w:eastAsia="仿宋"/>
          <w:sz w:val="28"/>
          <w:szCs w:val="28"/>
        </w:rPr>
        <w:t>1</w:t>
      </w:r>
      <w:r>
        <w:rPr>
          <w:rFonts w:hint="eastAsia" w:ascii="仿宋" w:hAnsi="仿宋" w:eastAsia="仿宋"/>
          <w:sz w:val="28"/>
          <w:szCs w:val="28"/>
        </w:rPr>
        <w:t>万元以上的，经项目负责人审核，经学院分管领导审批。</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项目负责人本人发生的支出，须经学院分管领导审批。</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第二十九条</w:t>
      </w:r>
      <w:r>
        <w:rPr>
          <w:rFonts w:hint="eastAsia" w:ascii="仿宋" w:hAnsi="仿宋" w:eastAsia="仿宋"/>
          <w:sz w:val="28"/>
          <w:szCs w:val="28"/>
        </w:rPr>
        <w:t>　使用科研经费购置或形成的固定资产、无形资产，均属于国有资产，其取得、使用、保管、处置等，须按学校有关规定统一管理与核算。</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第三十条</w:t>
      </w:r>
      <w:r>
        <w:rPr>
          <w:rFonts w:hint="eastAsia" w:ascii="仿宋" w:hAnsi="仿宋" w:eastAsia="仿宋"/>
          <w:sz w:val="28"/>
          <w:szCs w:val="28"/>
        </w:rPr>
        <w:t>　为委托方代购的固定资产、无形资产等，或按合同约定用于研究过程中破坏性试验的仪器设备等，不作为学校相关资产管理。</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第三十一条</w:t>
      </w:r>
      <w:r>
        <w:rPr>
          <w:rFonts w:hint="eastAsia" w:ascii="仿宋" w:hAnsi="仿宋" w:eastAsia="仿宋"/>
          <w:sz w:val="28"/>
          <w:szCs w:val="28"/>
        </w:rPr>
        <w:t>　货物、工程、服务采购须按政府采购和学校有关采购管理规定执行。</w:t>
      </w:r>
    </w:p>
    <w:p>
      <w:pPr>
        <w:spacing w:before="156" w:beforeLines="50" w:after="156" w:afterLines="50" w:line="500" w:lineRule="exact"/>
        <w:jc w:val="center"/>
        <w:rPr>
          <w:rFonts w:ascii="华文中宋" w:hAnsi="华文中宋" w:eastAsia="华文中宋"/>
          <w:b/>
          <w:sz w:val="28"/>
          <w:szCs w:val="28"/>
        </w:rPr>
      </w:pPr>
      <w:r>
        <w:rPr>
          <w:rFonts w:hint="eastAsia" w:ascii="华文中宋" w:hAnsi="华文中宋" w:eastAsia="华文中宋"/>
          <w:b/>
          <w:sz w:val="28"/>
          <w:szCs w:val="28"/>
        </w:rPr>
        <w:t>第五章　结余经费管理</w:t>
      </w:r>
    </w:p>
    <w:p>
      <w:pPr>
        <w:widowControl/>
        <w:adjustRightInd w:val="0"/>
        <w:snapToGrid w:val="0"/>
        <w:spacing w:line="480" w:lineRule="exact"/>
        <w:ind w:firstLine="562" w:firstLineChars="200"/>
        <w:rPr>
          <w:rFonts w:ascii="仿宋" w:hAnsi="仿宋" w:eastAsia="仿宋"/>
          <w:sz w:val="28"/>
          <w:szCs w:val="28"/>
        </w:rPr>
      </w:pPr>
      <w:r>
        <w:rPr>
          <w:rFonts w:hint="eastAsia" w:ascii="仿宋" w:hAnsi="仿宋" w:eastAsia="仿宋"/>
          <w:b/>
          <w:sz w:val="28"/>
        </w:rPr>
        <w:t>第三十二条　</w:t>
      </w:r>
      <w:r>
        <w:rPr>
          <w:rFonts w:hint="eastAsia" w:ascii="仿宋" w:hAnsi="仿宋" w:eastAsia="仿宋"/>
          <w:sz w:val="28"/>
          <w:szCs w:val="28"/>
        </w:rPr>
        <w:t>结余经费是指科研项目计划实施期已结束或因故终止后剩余的经费。</w:t>
      </w:r>
    </w:p>
    <w:p>
      <w:pPr>
        <w:spacing w:line="480" w:lineRule="exact"/>
        <w:ind w:firstLine="562" w:firstLineChars="200"/>
        <w:rPr>
          <w:rFonts w:ascii="仿宋" w:hAnsi="仿宋" w:eastAsia="仿宋"/>
          <w:sz w:val="28"/>
        </w:rPr>
      </w:pPr>
      <w:r>
        <w:rPr>
          <w:rFonts w:hint="eastAsia" w:ascii="仿宋" w:hAnsi="仿宋" w:eastAsia="仿宋"/>
          <w:b/>
          <w:sz w:val="28"/>
        </w:rPr>
        <w:t>第三十三条</w:t>
      </w:r>
      <w:r>
        <w:rPr>
          <w:rFonts w:hint="eastAsia" w:ascii="仿宋" w:hAnsi="仿宋" w:eastAsia="仿宋"/>
          <w:sz w:val="28"/>
          <w:szCs w:val="28"/>
        </w:rPr>
        <w:t>　科研项目完成目标任务并通过验收，其结余资金应在一定期限内由学校统筹安排用于科研活动的直接支出，不得用于发放奖金、福利，不得归项目组成员个人所有或长期挂账，不得违反规定使用或转移；未通过验收或整改后通过验收的项目，其结余资金应按有关规定处理。</w:t>
      </w:r>
    </w:p>
    <w:p>
      <w:pPr>
        <w:spacing w:line="480" w:lineRule="exact"/>
        <w:ind w:firstLine="562" w:firstLineChars="200"/>
        <w:rPr>
          <w:rFonts w:ascii="仿宋" w:hAnsi="仿宋" w:eastAsia="仿宋"/>
          <w:sz w:val="28"/>
          <w:szCs w:val="28"/>
        </w:rPr>
      </w:pPr>
      <w:r>
        <w:rPr>
          <w:rFonts w:hint="eastAsia" w:ascii="仿宋" w:hAnsi="仿宋" w:eastAsia="仿宋"/>
          <w:b/>
          <w:sz w:val="28"/>
        </w:rPr>
        <w:t>第三十四条</w:t>
      </w:r>
      <w:r>
        <w:rPr>
          <w:rFonts w:hint="eastAsia" w:ascii="仿宋" w:hAnsi="仿宋" w:eastAsia="仿宋"/>
          <w:sz w:val="28"/>
          <w:szCs w:val="28"/>
        </w:rPr>
        <w:t>　项目经资助单位认定结题后一年内，无特殊要求的，科研管理部门和财务处应会同项目负责人办理结余经费分配手续，并同时注销该课题财务项目号。</w:t>
      </w:r>
    </w:p>
    <w:p>
      <w:pPr>
        <w:spacing w:before="156" w:beforeLines="50" w:after="156" w:afterLines="50" w:line="500" w:lineRule="exact"/>
        <w:jc w:val="center"/>
        <w:rPr>
          <w:rFonts w:ascii="华文中宋" w:hAnsi="华文中宋" w:eastAsia="华文中宋"/>
          <w:b/>
          <w:sz w:val="28"/>
          <w:szCs w:val="28"/>
        </w:rPr>
      </w:pPr>
      <w:r>
        <w:rPr>
          <w:rFonts w:hint="eastAsia" w:ascii="华文中宋" w:hAnsi="华文中宋" w:eastAsia="华文中宋"/>
          <w:b/>
          <w:sz w:val="28"/>
          <w:szCs w:val="28"/>
        </w:rPr>
        <w:t>第六章　监督检查</w:t>
      </w:r>
    </w:p>
    <w:p>
      <w:pPr>
        <w:widowControl/>
        <w:snapToGrid w:val="0"/>
        <w:spacing w:line="480" w:lineRule="exact"/>
        <w:ind w:firstLine="562" w:firstLineChars="200"/>
        <w:rPr>
          <w:rFonts w:ascii="仿宋" w:hAnsi="仿宋" w:eastAsia="仿宋"/>
          <w:sz w:val="28"/>
          <w:szCs w:val="28"/>
        </w:rPr>
      </w:pPr>
      <w:r>
        <w:rPr>
          <w:rFonts w:hint="eastAsia" w:ascii="仿宋" w:hAnsi="仿宋" w:eastAsia="仿宋"/>
          <w:b/>
          <w:sz w:val="28"/>
          <w:szCs w:val="28"/>
        </w:rPr>
        <w:t>第三十五条</w:t>
      </w:r>
      <w:r>
        <w:rPr>
          <w:rFonts w:hint="eastAsia" w:ascii="仿宋" w:hAnsi="仿宋" w:eastAsia="仿宋"/>
          <w:sz w:val="28"/>
          <w:szCs w:val="28"/>
        </w:rPr>
        <w:t>　科研管理部门牵头，定期组织科研经费使用与管理专项检查，接受群众监督，确保科研经费依法合理使用。</w:t>
      </w:r>
    </w:p>
    <w:p>
      <w:pPr>
        <w:widowControl/>
        <w:snapToGrid w:val="0"/>
        <w:spacing w:line="480" w:lineRule="exact"/>
        <w:ind w:firstLine="562" w:firstLineChars="200"/>
        <w:rPr>
          <w:rFonts w:ascii="仿宋" w:hAnsi="仿宋" w:eastAsia="仿宋"/>
          <w:sz w:val="28"/>
          <w:szCs w:val="28"/>
        </w:rPr>
      </w:pPr>
      <w:r>
        <w:rPr>
          <w:rFonts w:hint="eastAsia" w:ascii="仿宋" w:hAnsi="仿宋" w:eastAsia="仿宋"/>
          <w:b/>
          <w:sz w:val="28"/>
          <w:szCs w:val="28"/>
        </w:rPr>
        <w:t>第三十六条</w:t>
      </w:r>
      <w:r>
        <w:rPr>
          <w:rFonts w:hint="eastAsia" w:ascii="仿宋" w:hAnsi="仿宋" w:eastAsia="仿宋"/>
          <w:sz w:val="28"/>
          <w:szCs w:val="28"/>
        </w:rPr>
        <w:t>　科研经费审计是学校内部审计的重点业务范围，对重大、重点科研项目应开展全过程跟踪审计。学校将专项审计、中期财务检查、财务验收和绩效评价等结果作为项目申请和科研绩效奖励的重要依据。</w:t>
      </w:r>
    </w:p>
    <w:p>
      <w:pPr>
        <w:widowControl/>
        <w:snapToGrid w:val="0"/>
        <w:spacing w:line="480" w:lineRule="exact"/>
        <w:ind w:firstLine="562" w:firstLineChars="200"/>
        <w:rPr>
          <w:rFonts w:ascii="仿宋" w:hAnsi="仿宋" w:eastAsia="仿宋"/>
          <w:sz w:val="28"/>
          <w:szCs w:val="28"/>
        </w:rPr>
      </w:pPr>
      <w:r>
        <w:rPr>
          <w:rFonts w:hint="eastAsia" w:ascii="仿宋" w:hAnsi="仿宋" w:eastAsia="仿宋"/>
          <w:b/>
          <w:sz w:val="28"/>
          <w:szCs w:val="28"/>
        </w:rPr>
        <w:t>第三十七条</w:t>
      </w:r>
      <w:r>
        <w:rPr>
          <w:rFonts w:hint="eastAsia" w:ascii="仿宋" w:hAnsi="仿宋" w:eastAsia="仿宋"/>
          <w:sz w:val="28"/>
          <w:szCs w:val="28"/>
        </w:rPr>
        <w:t>　科研项目负责人应严格执行国家和学校的财务制度，自觉接受科研经费资助单位对项目运行和经费使用情况的监督检查与审计、政府财政部门的财务检查和审计部门的审计监督，以及学校财务、监察、审计等部门组织的内部监督检查。</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第三十八条</w:t>
      </w:r>
      <w:r>
        <w:rPr>
          <w:rFonts w:hint="eastAsia" w:ascii="仿宋" w:hAnsi="仿宋" w:eastAsia="仿宋"/>
          <w:sz w:val="28"/>
          <w:szCs w:val="28"/>
        </w:rPr>
        <w:t>　对违反财经纪律、逃避财务管理的，学校将追究项目负责人责任，并按有关规定依情节轻重给予必要的处分或处罚。涉嫌犯罪的，移送司法机关处理。</w:t>
      </w:r>
    </w:p>
    <w:p>
      <w:pPr>
        <w:spacing w:before="156" w:beforeLines="50" w:after="156" w:afterLines="50" w:line="500" w:lineRule="exact"/>
        <w:jc w:val="center"/>
        <w:rPr>
          <w:rFonts w:ascii="华文中宋" w:hAnsi="华文中宋" w:eastAsia="华文中宋"/>
          <w:b/>
          <w:sz w:val="28"/>
          <w:szCs w:val="28"/>
        </w:rPr>
      </w:pPr>
      <w:r>
        <w:rPr>
          <w:rFonts w:hint="eastAsia" w:ascii="华文中宋" w:hAnsi="华文中宋" w:eastAsia="华文中宋"/>
          <w:b/>
          <w:sz w:val="28"/>
          <w:szCs w:val="28"/>
        </w:rPr>
        <w:t>第七章　附　　则</w:t>
      </w:r>
    </w:p>
    <w:p>
      <w:pPr>
        <w:pStyle w:val="9"/>
        <w:widowControl w:val="0"/>
        <w:adjustRightInd w:val="0"/>
        <w:snapToGrid w:val="0"/>
        <w:spacing w:before="0" w:beforeAutospacing="0" w:after="0" w:afterAutospacing="0" w:line="480" w:lineRule="exact"/>
        <w:ind w:firstLine="562" w:firstLineChars="200"/>
        <w:jc w:val="both"/>
        <w:rPr>
          <w:rFonts w:ascii="仿宋" w:hAnsi="仿宋" w:eastAsia="仿宋" w:cs="Times New Roman"/>
          <w:kern w:val="2"/>
          <w:sz w:val="28"/>
          <w:szCs w:val="28"/>
        </w:rPr>
      </w:pPr>
      <w:r>
        <w:rPr>
          <w:rFonts w:hint="eastAsia" w:ascii="仿宋" w:hAnsi="仿宋" w:eastAsia="仿宋" w:cs="Times New Roman"/>
          <w:b/>
          <w:kern w:val="2"/>
          <w:sz w:val="28"/>
          <w:szCs w:val="28"/>
        </w:rPr>
        <w:t>第三十九条</w:t>
      </w:r>
      <w:r>
        <w:rPr>
          <w:rFonts w:hint="eastAsia" w:ascii="仿宋" w:hAnsi="仿宋" w:eastAsia="仿宋" w:cs="Times New Roman"/>
          <w:kern w:val="2"/>
          <w:sz w:val="28"/>
          <w:szCs w:val="28"/>
        </w:rPr>
        <w:t>　本办法由科学技术处、人文社科处、财务处分别负责解释。</w:t>
      </w:r>
    </w:p>
    <w:p>
      <w:pPr>
        <w:pStyle w:val="9"/>
        <w:widowControl w:val="0"/>
        <w:adjustRightInd w:val="0"/>
        <w:snapToGrid w:val="0"/>
        <w:spacing w:before="0" w:beforeAutospacing="0" w:after="0" w:afterAutospacing="0" w:line="480" w:lineRule="exact"/>
        <w:ind w:firstLine="562" w:firstLineChars="200"/>
        <w:jc w:val="both"/>
        <w:rPr>
          <w:rFonts w:ascii="仿宋" w:hAnsi="仿宋" w:eastAsia="仿宋" w:cs="Times New Roman"/>
          <w:b/>
          <w:kern w:val="2"/>
          <w:sz w:val="28"/>
          <w:szCs w:val="28"/>
        </w:rPr>
      </w:pPr>
      <w:r>
        <w:rPr>
          <w:rFonts w:hint="eastAsia" w:ascii="仿宋" w:hAnsi="仿宋" w:eastAsia="仿宋" w:cs="Times New Roman"/>
          <w:b/>
          <w:kern w:val="2"/>
          <w:sz w:val="28"/>
          <w:szCs w:val="28"/>
        </w:rPr>
        <w:t>第</w:t>
      </w:r>
      <w:r>
        <w:rPr>
          <w:rFonts w:hint="eastAsia" w:ascii="仿宋" w:hAnsi="仿宋" w:eastAsia="仿宋"/>
          <w:b/>
          <w:sz w:val="28"/>
          <w:szCs w:val="28"/>
        </w:rPr>
        <w:t>四十</w:t>
      </w:r>
      <w:r>
        <w:rPr>
          <w:rFonts w:hint="eastAsia" w:ascii="仿宋" w:hAnsi="仿宋" w:eastAsia="仿宋" w:cs="Times New Roman"/>
          <w:b/>
          <w:kern w:val="2"/>
          <w:sz w:val="28"/>
          <w:szCs w:val="28"/>
        </w:rPr>
        <w:t>条　</w:t>
      </w:r>
      <w:r>
        <w:rPr>
          <w:rFonts w:hint="eastAsia" w:ascii="仿宋" w:hAnsi="仿宋" w:eastAsia="仿宋" w:cs="Times New Roman"/>
          <w:kern w:val="2"/>
          <w:sz w:val="28"/>
          <w:szCs w:val="28"/>
        </w:rPr>
        <w:t>本办法自</w:t>
      </w:r>
      <w:r>
        <w:rPr>
          <w:rFonts w:ascii="仿宋" w:hAnsi="仿宋" w:eastAsia="仿宋" w:cs="Times New Roman"/>
          <w:kern w:val="2"/>
          <w:sz w:val="28"/>
          <w:szCs w:val="28"/>
        </w:rPr>
        <w:t>2015</w:t>
      </w:r>
      <w:r>
        <w:rPr>
          <w:rFonts w:hint="eastAsia" w:ascii="仿宋" w:hAnsi="仿宋" w:eastAsia="仿宋" w:cs="Times New Roman"/>
          <w:kern w:val="2"/>
          <w:sz w:val="28"/>
          <w:szCs w:val="28"/>
        </w:rPr>
        <w:t>年</w:t>
      </w:r>
      <w:r>
        <w:rPr>
          <w:rFonts w:ascii="仿宋" w:hAnsi="仿宋" w:eastAsia="仿宋" w:cs="Times New Roman"/>
          <w:kern w:val="2"/>
          <w:sz w:val="28"/>
          <w:szCs w:val="28"/>
        </w:rPr>
        <w:t>1</w:t>
      </w:r>
      <w:r>
        <w:rPr>
          <w:rFonts w:hint="eastAsia" w:ascii="仿宋" w:hAnsi="仿宋" w:eastAsia="仿宋" w:cs="Times New Roman"/>
          <w:kern w:val="2"/>
          <w:sz w:val="28"/>
          <w:szCs w:val="28"/>
        </w:rPr>
        <w:t>月</w:t>
      </w:r>
      <w:r>
        <w:rPr>
          <w:rFonts w:ascii="仿宋" w:hAnsi="仿宋" w:eastAsia="仿宋" w:cs="Times New Roman"/>
          <w:kern w:val="2"/>
          <w:sz w:val="28"/>
          <w:szCs w:val="28"/>
        </w:rPr>
        <w:t>1</w:t>
      </w:r>
      <w:r>
        <w:rPr>
          <w:rFonts w:hint="eastAsia" w:ascii="仿宋" w:hAnsi="仿宋" w:eastAsia="仿宋" w:cs="Times New Roman"/>
          <w:kern w:val="2"/>
          <w:sz w:val="28"/>
          <w:szCs w:val="28"/>
        </w:rPr>
        <w:t>日起试行。原科研经费管理办法自行废止。</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right"/>
    </w:pPr>
    <w:r>
      <w:rPr>
        <w:lang w:val="zh-CN"/>
      </w:rPr>
      <w:t xml:space="preserve"> </w:t>
    </w: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9</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84384"/>
    <w:rsid w:val="00001D05"/>
    <w:rsid w:val="00030738"/>
    <w:rsid w:val="00034266"/>
    <w:rsid w:val="0004268B"/>
    <w:rsid w:val="00050159"/>
    <w:rsid w:val="00063520"/>
    <w:rsid w:val="00064E61"/>
    <w:rsid w:val="000A6105"/>
    <w:rsid w:val="000B10AC"/>
    <w:rsid w:val="000C4C6E"/>
    <w:rsid w:val="000D26DA"/>
    <w:rsid w:val="00140395"/>
    <w:rsid w:val="00140A1E"/>
    <w:rsid w:val="001655B3"/>
    <w:rsid w:val="001858B0"/>
    <w:rsid w:val="001D750A"/>
    <w:rsid w:val="001E1A53"/>
    <w:rsid w:val="0020166E"/>
    <w:rsid w:val="00206240"/>
    <w:rsid w:val="00243B78"/>
    <w:rsid w:val="002551AA"/>
    <w:rsid w:val="00263D50"/>
    <w:rsid w:val="002650B5"/>
    <w:rsid w:val="0028607D"/>
    <w:rsid w:val="002A140A"/>
    <w:rsid w:val="002A4A42"/>
    <w:rsid w:val="002F4C1B"/>
    <w:rsid w:val="0030336B"/>
    <w:rsid w:val="003316D1"/>
    <w:rsid w:val="00332377"/>
    <w:rsid w:val="0033423E"/>
    <w:rsid w:val="003354F0"/>
    <w:rsid w:val="0036651E"/>
    <w:rsid w:val="00382EF4"/>
    <w:rsid w:val="00383815"/>
    <w:rsid w:val="00383A8F"/>
    <w:rsid w:val="0038448A"/>
    <w:rsid w:val="00394ACF"/>
    <w:rsid w:val="003A30FC"/>
    <w:rsid w:val="003D01D2"/>
    <w:rsid w:val="003D0A21"/>
    <w:rsid w:val="003D1AC2"/>
    <w:rsid w:val="003D742A"/>
    <w:rsid w:val="003E0D12"/>
    <w:rsid w:val="003E1A09"/>
    <w:rsid w:val="003E4BE2"/>
    <w:rsid w:val="003F02F9"/>
    <w:rsid w:val="00432045"/>
    <w:rsid w:val="004413B3"/>
    <w:rsid w:val="00445F72"/>
    <w:rsid w:val="00446A3A"/>
    <w:rsid w:val="004579FC"/>
    <w:rsid w:val="00465593"/>
    <w:rsid w:val="004775FF"/>
    <w:rsid w:val="00486190"/>
    <w:rsid w:val="0048717F"/>
    <w:rsid w:val="0049014A"/>
    <w:rsid w:val="004A17FD"/>
    <w:rsid w:val="004C040C"/>
    <w:rsid w:val="004D02C5"/>
    <w:rsid w:val="004D2540"/>
    <w:rsid w:val="004D2F27"/>
    <w:rsid w:val="004D3382"/>
    <w:rsid w:val="004F4A9C"/>
    <w:rsid w:val="00537DD2"/>
    <w:rsid w:val="00545A05"/>
    <w:rsid w:val="00551E18"/>
    <w:rsid w:val="00567D0E"/>
    <w:rsid w:val="005842A3"/>
    <w:rsid w:val="00585F03"/>
    <w:rsid w:val="00593AFB"/>
    <w:rsid w:val="005C1FF7"/>
    <w:rsid w:val="005D6732"/>
    <w:rsid w:val="005D70E4"/>
    <w:rsid w:val="005E36C2"/>
    <w:rsid w:val="005E4A3F"/>
    <w:rsid w:val="005F50C1"/>
    <w:rsid w:val="005F54F5"/>
    <w:rsid w:val="00605C0B"/>
    <w:rsid w:val="006118F4"/>
    <w:rsid w:val="006177A4"/>
    <w:rsid w:val="00624574"/>
    <w:rsid w:val="00631809"/>
    <w:rsid w:val="00637C62"/>
    <w:rsid w:val="006631B2"/>
    <w:rsid w:val="00685BFB"/>
    <w:rsid w:val="00686FB6"/>
    <w:rsid w:val="006F19FB"/>
    <w:rsid w:val="00701E60"/>
    <w:rsid w:val="007314C9"/>
    <w:rsid w:val="00731D61"/>
    <w:rsid w:val="0074034C"/>
    <w:rsid w:val="007406B1"/>
    <w:rsid w:val="00746A6B"/>
    <w:rsid w:val="007741B8"/>
    <w:rsid w:val="00796C0F"/>
    <w:rsid w:val="007A65BD"/>
    <w:rsid w:val="007B31CB"/>
    <w:rsid w:val="007B46DA"/>
    <w:rsid w:val="007C1AB8"/>
    <w:rsid w:val="007E3650"/>
    <w:rsid w:val="007F5F7F"/>
    <w:rsid w:val="008140DA"/>
    <w:rsid w:val="00815514"/>
    <w:rsid w:val="008316A5"/>
    <w:rsid w:val="00833F7D"/>
    <w:rsid w:val="00841A06"/>
    <w:rsid w:val="0084630C"/>
    <w:rsid w:val="00853F7A"/>
    <w:rsid w:val="008652C0"/>
    <w:rsid w:val="00881EA1"/>
    <w:rsid w:val="008A60D5"/>
    <w:rsid w:val="008B492A"/>
    <w:rsid w:val="008B61F1"/>
    <w:rsid w:val="008C4E90"/>
    <w:rsid w:val="008D5BEF"/>
    <w:rsid w:val="008E1A66"/>
    <w:rsid w:val="008E5F93"/>
    <w:rsid w:val="008E65E3"/>
    <w:rsid w:val="0090192B"/>
    <w:rsid w:val="00932116"/>
    <w:rsid w:val="0093605A"/>
    <w:rsid w:val="00944665"/>
    <w:rsid w:val="00984384"/>
    <w:rsid w:val="00996D20"/>
    <w:rsid w:val="009B6E09"/>
    <w:rsid w:val="009C5D91"/>
    <w:rsid w:val="009C5F52"/>
    <w:rsid w:val="009E4DB1"/>
    <w:rsid w:val="00A06213"/>
    <w:rsid w:val="00A32745"/>
    <w:rsid w:val="00A55514"/>
    <w:rsid w:val="00A67AF9"/>
    <w:rsid w:val="00A9509E"/>
    <w:rsid w:val="00AC0252"/>
    <w:rsid w:val="00AD0A28"/>
    <w:rsid w:val="00AD1302"/>
    <w:rsid w:val="00AF78B5"/>
    <w:rsid w:val="00B1006D"/>
    <w:rsid w:val="00B15D29"/>
    <w:rsid w:val="00B2034B"/>
    <w:rsid w:val="00B323ED"/>
    <w:rsid w:val="00B37C3D"/>
    <w:rsid w:val="00B50D3D"/>
    <w:rsid w:val="00B6320A"/>
    <w:rsid w:val="00B84FFA"/>
    <w:rsid w:val="00B86012"/>
    <w:rsid w:val="00B90777"/>
    <w:rsid w:val="00B9086E"/>
    <w:rsid w:val="00B9797C"/>
    <w:rsid w:val="00BC28C6"/>
    <w:rsid w:val="00BF1C95"/>
    <w:rsid w:val="00BF7EFE"/>
    <w:rsid w:val="00C06347"/>
    <w:rsid w:val="00C2335E"/>
    <w:rsid w:val="00C261A4"/>
    <w:rsid w:val="00C507E2"/>
    <w:rsid w:val="00C60825"/>
    <w:rsid w:val="00C92B26"/>
    <w:rsid w:val="00C92FFF"/>
    <w:rsid w:val="00CA31DC"/>
    <w:rsid w:val="00CD5D45"/>
    <w:rsid w:val="00CE23FA"/>
    <w:rsid w:val="00CF0A0A"/>
    <w:rsid w:val="00D23FD8"/>
    <w:rsid w:val="00D31E4B"/>
    <w:rsid w:val="00D72AD3"/>
    <w:rsid w:val="00D77CE3"/>
    <w:rsid w:val="00D8064E"/>
    <w:rsid w:val="00D866A9"/>
    <w:rsid w:val="00DB63FF"/>
    <w:rsid w:val="00DF0404"/>
    <w:rsid w:val="00E15446"/>
    <w:rsid w:val="00E17F3B"/>
    <w:rsid w:val="00E40FDD"/>
    <w:rsid w:val="00E43582"/>
    <w:rsid w:val="00E47EF2"/>
    <w:rsid w:val="00E6107B"/>
    <w:rsid w:val="00E66223"/>
    <w:rsid w:val="00E854D1"/>
    <w:rsid w:val="00E94954"/>
    <w:rsid w:val="00EA1F46"/>
    <w:rsid w:val="00EA220E"/>
    <w:rsid w:val="00EA3F7D"/>
    <w:rsid w:val="00EA70A3"/>
    <w:rsid w:val="00F00FD4"/>
    <w:rsid w:val="00F20751"/>
    <w:rsid w:val="00F36DA6"/>
    <w:rsid w:val="00F81B18"/>
    <w:rsid w:val="00F82409"/>
    <w:rsid w:val="00F852C0"/>
    <w:rsid w:val="00FB39BE"/>
    <w:rsid w:val="00FD4FB4"/>
    <w:rsid w:val="00FD667D"/>
    <w:rsid w:val="00FE4185"/>
    <w:rsid w:val="37905CB0"/>
    <w:rsid w:val="7CF10818"/>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semiHidden="0" w:name="Default Paragraph Font"/>
    <w:lsdException w:uiPriority="0" w:name="Body Text"/>
    <w:lsdException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kern w:val="44"/>
      <w:sz w:val="44"/>
      <w:szCs w:val="20"/>
    </w:rPr>
  </w:style>
  <w:style w:type="character" w:default="1" w:styleId="11">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3">
    <w:name w:val="annotation subject"/>
    <w:basedOn w:val="4"/>
    <w:next w:val="4"/>
    <w:link w:val="23"/>
    <w:semiHidden/>
    <w:uiPriority w:val="99"/>
    <w:rPr>
      <w:rFonts w:ascii="Calibri" w:hAnsi="Calibri"/>
      <w:b/>
      <w:bCs/>
      <w:szCs w:val="22"/>
    </w:rPr>
  </w:style>
  <w:style w:type="paragraph" w:styleId="4">
    <w:name w:val="annotation text"/>
    <w:basedOn w:val="1"/>
    <w:link w:val="22"/>
    <w:semiHidden/>
    <w:uiPriority w:val="99"/>
    <w:pPr>
      <w:jc w:val="left"/>
    </w:pPr>
    <w:rPr>
      <w:rFonts w:ascii="Times New Roman" w:hAnsi="Times New Roman"/>
      <w:szCs w:val="24"/>
    </w:rPr>
  </w:style>
  <w:style w:type="paragraph" w:styleId="5">
    <w:name w:val="Body Text Indent"/>
    <w:basedOn w:val="1"/>
    <w:link w:val="18"/>
    <w:uiPriority w:val="99"/>
    <w:pPr>
      <w:ind w:firstLine="622"/>
    </w:pPr>
    <w:rPr>
      <w:rFonts w:ascii="Times New Roman" w:hAnsi="Times New Roman" w:eastAsia="仿宋_GB2312"/>
      <w:kern w:val="0"/>
      <w:sz w:val="28"/>
      <w:szCs w:val="20"/>
    </w:rPr>
  </w:style>
  <w:style w:type="paragraph" w:styleId="6">
    <w:name w:val="Balloon Text"/>
    <w:basedOn w:val="1"/>
    <w:link w:val="21"/>
    <w:semiHidden/>
    <w:uiPriority w:val="99"/>
    <w:rPr>
      <w:sz w:val="18"/>
      <w:szCs w:val="18"/>
    </w:rPr>
  </w:style>
  <w:style w:type="paragraph" w:styleId="7">
    <w:name w:val="footer"/>
    <w:basedOn w:val="1"/>
    <w:link w:val="20"/>
    <w:uiPriority w:val="99"/>
    <w:pPr>
      <w:tabs>
        <w:tab w:val="center" w:pos="4153"/>
        <w:tab w:val="right" w:pos="8306"/>
      </w:tabs>
      <w:snapToGrid w:val="0"/>
      <w:jc w:val="left"/>
    </w:pPr>
    <w:rPr>
      <w:sz w:val="18"/>
      <w:szCs w:val="18"/>
    </w:rPr>
  </w:style>
  <w:style w:type="paragraph" w:styleId="8">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17"/>
    <w:qFormat/>
    <w:uiPriority w:val="99"/>
    <w:pPr>
      <w:spacing w:before="240" w:after="60"/>
      <w:jc w:val="center"/>
      <w:outlineLvl w:val="0"/>
    </w:pPr>
    <w:rPr>
      <w:rFonts w:ascii="Cambria" w:hAnsi="Cambria"/>
      <w:b/>
      <w:kern w:val="0"/>
      <w:sz w:val="32"/>
      <w:szCs w:val="20"/>
    </w:rPr>
  </w:style>
  <w:style w:type="character" w:styleId="12">
    <w:name w:val="annotation reference"/>
    <w:basedOn w:val="11"/>
    <w:semiHidden/>
    <w:uiPriority w:val="99"/>
    <w:rPr>
      <w:rFonts w:cs="Times New Roman"/>
      <w:sz w:val="21"/>
      <w:szCs w:val="21"/>
    </w:rPr>
  </w:style>
  <w:style w:type="paragraph" w:customStyle="1" w:styleId="14">
    <w:name w:val="List Paragraph"/>
    <w:basedOn w:val="1"/>
    <w:qFormat/>
    <w:uiPriority w:val="99"/>
    <w:pPr>
      <w:ind w:firstLine="420" w:firstLineChars="200"/>
    </w:pPr>
  </w:style>
  <w:style w:type="paragraph" w:customStyle="1" w:styleId="15">
    <w:name w:val="p0"/>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标题 1 Char"/>
    <w:basedOn w:val="11"/>
    <w:link w:val="2"/>
    <w:locked/>
    <w:uiPriority w:val="99"/>
    <w:rPr>
      <w:rFonts w:ascii="Calibri" w:hAnsi="Calibri" w:eastAsia="宋体" w:cs="Times New Roman"/>
      <w:b/>
      <w:kern w:val="44"/>
      <w:sz w:val="20"/>
      <w:szCs w:val="20"/>
    </w:rPr>
  </w:style>
  <w:style w:type="character" w:customStyle="1" w:styleId="17">
    <w:name w:val="标题 Char"/>
    <w:basedOn w:val="11"/>
    <w:link w:val="10"/>
    <w:locked/>
    <w:uiPriority w:val="99"/>
    <w:rPr>
      <w:rFonts w:ascii="Cambria" w:hAnsi="Cambria" w:eastAsia="宋体" w:cs="Times New Roman"/>
      <w:b/>
      <w:kern w:val="0"/>
      <w:sz w:val="20"/>
      <w:szCs w:val="20"/>
    </w:rPr>
  </w:style>
  <w:style w:type="character" w:customStyle="1" w:styleId="18">
    <w:name w:val="正文文本缩进 Char"/>
    <w:basedOn w:val="11"/>
    <w:link w:val="5"/>
    <w:locked/>
    <w:uiPriority w:val="99"/>
    <w:rPr>
      <w:rFonts w:ascii="Times New Roman" w:hAnsi="Times New Roman" w:eastAsia="仿宋_GB2312" w:cs="Times New Roman"/>
      <w:snapToGrid w:val="0"/>
      <w:kern w:val="0"/>
      <w:sz w:val="20"/>
      <w:szCs w:val="20"/>
    </w:rPr>
  </w:style>
  <w:style w:type="character" w:customStyle="1" w:styleId="19">
    <w:name w:val="页眉 Char"/>
    <w:basedOn w:val="11"/>
    <w:link w:val="8"/>
    <w:locked/>
    <w:uiPriority w:val="99"/>
    <w:rPr>
      <w:rFonts w:ascii="Calibri" w:hAnsi="Calibri" w:eastAsia="宋体" w:cs="Times New Roman"/>
      <w:sz w:val="18"/>
      <w:szCs w:val="18"/>
    </w:rPr>
  </w:style>
  <w:style w:type="character" w:customStyle="1" w:styleId="20">
    <w:name w:val="页脚 Char"/>
    <w:basedOn w:val="11"/>
    <w:link w:val="7"/>
    <w:locked/>
    <w:uiPriority w:val="99"/>
    <w:rPr>
      <w:rFonts w:ascii="Calibri" w:hAnsi="Calibri" w:eastAsia="宋体" w:cs="Times New Roman"/>
      <w:sz w:val="18"/>
      <w:szCs w:val="18"/>
    </w:rPr>
  </w:style>
  <w:style w:type="character" w:customStyle="1" w:styleId="21">
    <w:name w:val="批注框文本 Char"/>
    <w:basedOn w:val="11"/>
    <w:link w:val="6"/>
    <w:semiHidden/>
    <w:locked/>
    <w:uiPriority w:val="99"/>
    <w:rPr>
      <w:rFonts w:ascii="Calibri" w:hAnsi="Calibri" w:eastAsia="宋体" w:cs="Times New Roman"/>
      <w:sz w:val="18"/>
      <w:szCs w:val="18"/>
    </w:rPr>
  </w:style>
  <w:style w:type="character" w:customStyle="1" w:styleId="22">
    <w:name w:val="批注文字 Char"/>
    <w:basedOn w:val="11"/>
    <w:link w:val="4"/>
    <w:semiHidden/>
    <w:uiPriority w:val="99"/>
    <w:rPr/>
  </w:style>
  <w:style w:type="character" w:customStyle="1" w:styleId="23">
    <w:name w:val="批注主题 Char"/>
    <w:basedOn w:val="22"/>
    <w:link w:val="3"/>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5484</Words>
  <Characters>332</Characters>
  <Lines>2</Lines>
  <Paragraphs>11</Paragraphs>
  <ScaleCrop>false</ScaleCrop>
  <LinksUpToDate>false</LinksUpToDate>
  <CharactersWithSpaces>0</CharactersWithSpaces>
  <Application>WPS Office 个人版_9.1.0.4879_{F1E327BC-269C-435d-A152-05C5408002CA}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2014-12-01T00:54:00Z</dcterms:created>
  <dc:creator>lorhwa</dc:creator>
  <cp:lastModifiedBy>lin</cp:lastModifiedBy>
  <cp:lastPrinted>2014-11-28T09:12:00Z</cp:lastPrinted>
  <dcterms:modified xsi:type="dcterms:W3CDTF">2014-12-05T07:48:24Z</dcterms:modified>
  <dc:title>扬州大学科研经费管理办法（修订稿）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