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DB" w:rsidRPr="00010548" w:rsidRDefault="004457CB" w:rsidP="00010548">
      <w:pPr>
        <w:jc w:val="center"/>
        <w:rPr>
          <w:b/>
          <w:color w:val="3C3C3C"/>
          <w:sz w:val="33"/>
          <w:szCs w:val="33"/>
        </w:rPr>
      </w:pPr>
      <w:r w:rsidRPr="00010548">
        <w:rPr>
          <w:rFonts w:hint="eastAsia"/>
          <w:b/>
          <w:color w:val="3C3C3C"/>
          <w:sz w:val="33"/>
          <w:szCs w:val="33"/>
        </w:rPr>
        <w:t>扬州大学关于做好</w:t>
      </w:r>
      <w:r w:rsidRPr="00010548">
        <w:rPr>
          <w:rFonts w:hint="eastAsia"/>
          <w:b/>
          <w:color w:val="3C3C3C"/>
          <w:sz w:val="33"/>
          <w:szCs w:val="33"/>
        </w:rPr>
        <w:t>2019</w:t>
      </w:r>
      <w:r w:rsidRPr="00010548">
        <w:rPr>
          <w:rFonts w:hint="eastAsia"/>
          <w:b/>
          <w:color w:val="3C3C3C"/>
          <w:sz w:val="33"/>
          <w:szCs w:val="33"/>
        </w:rPr>
        <w:t>届本科生毕业设计（论文）评阅答辩及评优工作的通知</w:t>
      </w:r>
    </w:p>
    <w:p w:rsidR="004457CB" w:rsidRPr="004457CB" w:rsidRDefault="004457CB" w:rsidP="004457CB">
      <w:pPr>
        <w:widowControl/>
        <w:spacing w:before="75" w:after="7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各学院：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为扎实有效开展2019届本科生毕业设计（论文）各项工作，确保评阅、答辩和评优各个环节质量，现将有关事项通知如下：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一、加强对毕业设计（论文）的规范管理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1.格式规范 所有毕业设计(论文)的目录及文本都必须符合《扬州大学本科生毕业设计（论文）工作条例》中的格式及要求。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2.过程材料齐全 包括题目申报表、题目及成绩汇总表、选题及成绩分析表、任务书、开题报告、中期自查表、指导教师审阅意见表、评阅人意见表、答辩结果表等。所有材料格式要规范、内容要具体、目标要明确。其中申报表、任务书、开题报告、中期自查表、指导教师审阅意见表、评阅人意见表、答辩结果表，</w:t>
      </w:r>
      <w:r w:rsidRPr="004457CB">
        <w:rPr>
          <w:rFonts w:ascii="宋体" w:eastAsia="宋体" w:hAnsi="宋体" w:cs="Arial" w:hint="eastAsia"/>
          <w:kern w:val="0"/>
          <w:sz w:val="30"/>
          <w:szCs w:val="30"/>
          <w:highlight w:val="yellow"/>
        </w:rPr>
        <w:t>毕业设计（论文）以及附件的电子材料均需录入毕业设计（论文）管理系统。系统中的电子材料应与提交的纸质材料一致。</w:t>
      </w:r>
      <w:r w:rsidRPr="004457CB">
        <w:rPr>
          <w:rFonts w:ascii="宋体" w:eastAsia="宋体" w:hAnsi="宋体" w:cs="Arial" w:hint="eastAsia"/>
          <w:kern w:val="0"/>
          <w:sz w:val="30"/>
          <w:szCs w:val="30"/>
        </w:rPr>
        <w:t>个别学院的设计附件材料过大（如高清图片、视频），无需上传至系统，由学院自行保存。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3.为贯彻落实教育部《学位论文作假行为处理办法》（教育部第34号令）文件精神，加强学术道德及学风建设，营造学术诚信氛围，杜绝论文抄袭行为的发生。学校对所有本科生毕业设计（论文）使用维普</w:t>
      </w:r>
      <w:proofErr w:type="gramStart"/>
      <w:r w:rsidRPr="004457CB">
        <w:rPr>
          <w:rFonts w:ascii="宋体" w:eastAsia="宋体" w:hAnsi="宋体" w:cs="Arial" w:hint="eastAsia"/>
          <w:kern w:val="0"/>
          <w:sz w:val="30"/>
          <w:szCs w:val="30"/>
        </w:rPr>
        <w:t>论文查重检测</w:t>
      </w:r>
      <w:proofErr w:type="gramEnd"/>
      <w:r w:rsidRPr="004457CB">
        <w:rPr>
          <w:rFonts w:ascii="宋体" w:eastAsia="宋体" w:hAnsi="宋体" w:cs="Arial" w:hint="eastAsia"/>
          <w:kern w:val="0"/>
          <w:sz w:val="30"/>
          <w:szCs w:val="30"/>
        </w:rPr>
        <w:t>系统进行检测，以提高对毕业</w:t>
      </w:r>
      <w:r w:rsidRPr="004457CB">
        <w:rPr>
          <w:rFonts w:ascii="宋体" w:eastAsia="宋体" w:hAnsi="宋体" w:cs="Arial" w:hint="eastAsia"/>
          <w:kern w:val="0"/>
          <w:sz w:val="30"/>
          <w:szCs w:val="30"/>
        </w:rPr>
        <w:lastRenderedPageBreak/>
        <w:t>设计（论文）抄袭问题的辨别和处理能力，全面提高毕业设计（论文）质量。各学院可根据专业自身特点</w:t>
      </w:r>
      <w:proofErr w:type="gramStart"/>
      <w:r w:rsidRPr="004457CB">
        <w:rPr>
          <w:rFonts w:ascii="宋体" w:eastAsia="宋体" w:hAnsi="宋体" w:cs="Arial" w:hint="eastAsia"/>
          <w:kern w:val="0"/>
          <w:sz w:val="30"/>
          <w:szCs w:val="30"/>
        </w:rPr>
        <w:t>规定查重比例</w:t>
      </w:r>
      <w:proofErr w:type="gramEnd"/>
      <w:r w:rsidRPr="004457CB">
        <w:rPr>
          <w:rFonts w:ascii="宋体" w:eastAsia="宋体" w:hAnsi="宋体" w:cs="Arial" w:hint="eastAsia"/>
          <w:kern w:val="0"/>
          <w:sz w:val="30"/>
          <w:szCs w:val="30"/>
        </w:rPr>
        <w:t>限制，指导教师应要求文字复制比较高的学生对毕业设计（论文）进行整改。</w:t>
      </w:r>
      <w:r w:rsidRPr="004457CB">
        <w:rPr>
          <w:rFonts w:ascii="宋体" w:eastAsia="宋体" w:hAnsi="宋体" w:cs="Arial" w:hint="eastAsia"/>
          <w:kern w:val="0"/>
          <w:sz w:val="30"/>
          <w:szCs w:val="30"/>
          <w:highlight w:val="yellow"/>
        </w:rPr>
        <w:t>原则上学生提交的毕业设计（论文）检测结果“总文字复制比”高于30%不可以参加答辩；推荐为校级优秀毕业设计（论文）检测结果“总文字复制比”应低于15%；推荐为省级优秀毕业设计（论文）检测结果“总文字复制比”应低于10%。</w:t>
      </w:r>
      <w:r w:rsidRPr="004457CB">
        <w:rPr>
          <w:rFonts w:ascii="宋体" w:eastAsia="宋体" w:hAnsi="宋体" w:cs="Arial" w:hint="eastAsia"/>
          <w:kern w:val="0"/>
          <w:sz w:val="30"/>
          <w:szCs w:val="30"/>
        </w:rPr>
        <w:t>本届毕业设计（论文）查重的具体说明详见系统首页的通知。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二、答辩时间安排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  <w:highlight w:val="yellow"/>
        </w:rPr>
        <w:t>全校答辩工作原则安排在5月30日至6月10日进行, 未经批准不得提前。</w:t>
      </w:r>
      <w:r w:rsidRPr="004457CB">
        <w:rPr>
          <w:rFonts w:ascii="宋体" w:eastAsia="宋体" w:hAnsi="宋体" w:cs="Arial" w:hint="eastAsia"/>
          <w:kern w:val="0"/>
          <w:sz w:val="30"/>
          <w:szCs w:val="30"/>
        </w:rPr>
        <w:t>请各学院在</w:t>
      </w:r>
      <w:r w:rsidRPr="004D622B">
        <w:rPr>
          <w:rFonts w:ascii="宋体" w:eastAsia="宋体" w:hAnsi="宋体" w:cs="Arial" w:hint="eastAsia"/>
          <w:kern w:val="0"/>
          <w:sz w:val="30"/>
          <w:szCs w:val="30"/>
          <w:highlight w:val="yellow"/>
        </w:rPr>
        <w:t>5月28日前</w:t>
      </w:r>
      <w:bookmarkStart w:id="0" w:name="_GoBack"/>
      <w:bookmarkEnd w:id="0"/>
      <w:r w:rsidRPr="004457CB">
        <w:rPr>
          <w:rFonts w:ascii="宋体" w:eastAsia="宋体" w:hAnsi="宋体" w:cs="Arial" w:hint="eastAsia"/>
          <w:kern w:val="0"/>
          <w:sz w:val="30"/>
          <w:szCs w:val="30"/>
        </w:rPr>
        <w:t>将答辩安排一览表（见附件1）电子版报教务处实践教学科，学校将对答辩情况进行抽查。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三、做好校级优秀毕业设计（论文）评选相关工作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（一）评选条件及要求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1.参见《扬州大学本科优秀毕业设计（论文）评选办法》及省教育厅相关文件要求。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2.指导教师原则上需具有副教授及以上职称或具有博士学位的教师。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3.凡申报校级优秀毕业设计团队的，团队要有总的指导教师（需具有副教授及以上职称），每位学生有各自的指导教师。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lastRenderedPageBreak/>
        <w:t>（二）评选数量及名额分配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全校将在学院申报的基础上评选出本科生优秀毕业设计（论文）100篇、优秀毕业设计团队若干。各学院单篇的分配名额另行通知, 团队申报</w:t>
      </w:r>
      <w:proofErr w:type="gramStart"/>
      <w:r w:rsidRPr="004457CB">
        <w:rPr>
          <w:rFonts w:ascii="宋体" w:eastAsia="宋体" w:hAnsi="宋体" w:cs="Arial" w:hint="eastAsia"/>
          <w:kern w:val="0"/>
          <w:sz w:val="30"/>
          <w:szCs w:val="30"/>
        </w:rPr>
        <w:t>数每个</w:t>
      </w:r>
      <w:proofErr w:type="gramEnd"/>
      <w:r w:rsidRPr="004457CB">
        <w:rPr>
          <w:rFonts w:ascii="宋体" w:eastAsia="宋体" w:hAnsi="宋体" w:cs="Arial" w:hint="eastAsia"/>
          <w:kern w:val="0"/>
          <w:sz w:val="30"/>
          <w:szCs w:val="30"/>
        </w:rPr>
        <w:t>学院不超过2个。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（三）评选程序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1.学院根据学校分配名额进行本院优秀毕业设计（论文）评选、推荐工作。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2.学校组织专家对学院推荐的优秀毕业设计（论文）进行评审，并择优推荐参加省级优秀毕业设计（论文）评选。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（四）评选报送材料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1.学院汇总材料：（1）扬州大学本科优秀毕业设计（论文）推荐情况汇总表、扬州大学本科优秀毕业设计(论文)团队推荐情况汇总表；(2) 应届本科生毕业设计（论文）情况表（只报电子版）。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2.校级优秀毕业设计（论文）材料：（1）扬州大学本科优秀毕业设计（论文）推荐表；（2）毕业设计（论文）（含附件材料）；（3）毕业设计（论文）指导教师评阅意见表；（4）毕业设计（论文）评阅人意见表；（5）毕业设计（论文）答辩结果表。材料请按上述顺序摆放，连同设计图纸、附件等一起装入材料袋。材料袋粘贴统一格式封面。所有材料除签名外，均需录入打印。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lastRenderedPageBreak/>
        <w:t>3.校级优秀毕业设计团队材料：（1）扬州大学本科优秀毕业设计团队推荐表；（2）团队毕业设计(论文)总报告（要求5000字以上，目标明确，结构清晰，分工明确，论述完整。并附团队中每位学生的毕业设计（论文））；（3）毕业设计（论文）指导教师评阅意见表；（4）毕业设计（论文）评阅人意见表；（5）毕业设计（论文）答辩结果表。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(五)填报《扬州大学优秀毕业设计（论文）推荐表》相关要求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1.学院填全称；日期统一填“2019年6月10日”；类别为“本科毕业设计”或“本科毕业论文”；入学年级统一为“2015”（五年制为“2014”）；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2.专业填全称，专业所属一级门类和二级</w:t>
      </w:r>
      <w:proofErr w:type="gramStart"/>
      <w:r w:rsidRPr="004457CB">
        <w:rPr>
          <w:rFonts w:ascii="宋体" w:eastAsia="宋体" w:hAnsi="宋体" w:cs="Arial" w:hint="eastAsia"/>
          <w:kern w:val="0"/>
          <w:sz w:val="30"/>
          <w:szCs w:val="30"/>
        </w:rPr>
        <w:t>类严格</w:t>
      </w:r>
      <w:proofErr w:type="gramEnd"/>
      <w:r w:rsidRPr="004457CB">
        <w:rPr>
          <w:rFonts w:ascii="宋体" w:eastAsia="宋体" w:hAnsi="宋体" w:cs="Arial" w:hint="eastAsia"/>
          <w:kern w:val="0"/>
          <w:sz w:val="30"/>
          <w:szCs w:val="30"/>
        </w:rPr>
        <w:t>按照专业门类目录（本科）规定填写（专业名称+专业代码，）；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3.毕业设计（论文）总周数一律按人才培养方案规定周数填写；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4.毕业设计（论文）题目必须与文本中所有相关材料相吻合。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四、报送时间及要求</w:t>
      </w:r>
    </w:p>
    <w:p w:rsidR="004457CB" w:rsidRPr="004457CB" w:rsidRDefault="004457CB" w:rsidP="004457CB">
      <w:pPr>
        <w:widowControl/>
        <w:spacing w:before="75" w:after="75" w:line="55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请各学院于2019年6月20日前将上述材料（</w:t>
      </w:r>
      <w:proofErr w:type="gramStart"/>
      <w:r w:rsidRPr="004457CB">
        <w:rPr>
          <w:rFonts w:ascii="宋体" w:eastAsia="宋体" w:hAnsi="宋体" w:cs="Arial" w:hint="eastAsia"/>
          <w:kern w:val="0"/>
          <w:sz w:val="30"/>
          <w:szCs w:val="30"/>
        </w:rPr>
        <w:t>样表请可</w:t>
      </w:r>
      <w:proofErr w:type="gramEnd"/>
      <w:r w:rsidRPr="004457CB">
        <w:rPr>
          <w:rFonts w:ascii="宋体" w:eastAsia="宋体" w:hAnsi="宋体" w:cs="Arial" w:hint="eastAsia"/>
          <w:kern w:val="0"/>
          <w:sz w:val="30"/>
          <w:szCs w:val="30"/>
        </w:rPr>
        <w:t>在教务处网页“ 材料下载”栏下的“实践教学科”下载）文本及电子</w:t>
      </w:r>
      <w:proofErr w:type="gramStart"/>
      <w:r w:rsidRPr="004457CB">
        <w:rPr>
          <w:rFonts w:ascii="宋体" w:eastAsia="宋体" w:hAnsi="宋体" w:cs="Arial" w:hint="eastAsia"/>
          <w:kern w:val="0"/>
          <w:sz w:val="30"/>
          <w:szCs w:val="30"/>
        </w:rPr>
        <w:t>档报实践教</w:t>
      </w:r>
      <w:proofErr w:type="gramEnd"/>
      <w:r w:rsidRPr="004457CB">
        <w:rPr>
          <w:rFonts w:ascii="宋体" w:eastAsia="宋体" w:hAnsi="宋体" w:cs="Arial" w:hint="eastAsia"/>
          <w:kern w:val="0"/>
          <w:sz w:val="30"/>
          <w:szCs w:val="30"/>
        </w:rPr>
        <w:t>学科。</w:t>
      </w:r>
    </w:p>
    <w:p w:rsidR="004457CB" w:rsidRPr="004457CB" w:rsidRDefault="004457CB" w:rsidP="004457CB">
      <w:pPr>
        <w:widowControl/>
        <w:spacing w:before="75" w:after="75" w:line="360" w:lineRule="auto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lastRenderedPageBreak/>
        <w:t>凡经学校评审，推荐参加省级优秀毕业设计（论文）评审的材料，按教育厅文件要求重新填表上报。</w:t>
      </w:r>
    </w:p>
    <w:p w:rsidR="004457CB" w:rsidRPr="004457CB" w:rsidRDefault="004457CB" w:rsidP="004457CB">
      <w:pPr>
        <w:widowControl/>
        <w:spacing w:before="75" w:after="75" w:line="360" w:lineRule="auto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附件：</w:t>
      </w:r>
    </w:p>
    <w:p w:rsidR="004457CB" w:rsidRPr="004457CB" w:rsidRDefault="004457CB" w:rsidP="004457CB">
      <w:pPr>
        <w:widowControl/>
        <w:spacing w:before="75" w:after="75" w:line="360" w:lineRule="auto"/>
        <w:ind w:left="109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  2019届本科生毕业设计（论文）答辩安排一览表</w:t>
      </w:r>
    </w:p>
    <w:p w:rsidR="004457CB" w:rsidRPr="004457CB" w:rsidRDefault="004457CB" w:rsidP="004457CB">
      <w:pPr>
        <w:widowControl/>
        <w:spacing w:before="75" w:after="75" w:line="360" w:lineRule="auto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 </w:t>
      </w:r>
    </w:p>
    <w:p w:rsidR="004457CB" w:rsidRPr="004457CB" w:rsidRDefault="004457CB" w:rsidP="004457CB">
      <w:pPr>
        <w:widowControl/>
        <w:spacing w:before="75" w:after="75" w:line="360" w:lineRule="auto"/>
        <w:ind w:right="600" w:firstLineChars="1850" w:firstLine="5550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教务处</w:t>
      </w:r>
    </w:p>
    <w:p w:rsidR="004457CB" w:rsidRPr="004457CB" w:rsidRDefault="004457CB" w:rsidP="004457CB">
      <w:pPr>
        <w:widowControl/>
        <w:spacing w:before="75" w:after="75" w:line="360" w:lineRule="auto"/>
        <w:ind w:right="600"/>
        <w:jc w:val="righ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宋体" w:eastAsia="宋体" w:hAnsi="宋体" w:cs="Arial" w:hint="eastAsia"/>
          <w:kern w:val="0"/>
          <w:sz w:val="30"/>
          <w:szCs w:val="30"/>
        </w:rPr>
        <w:t>2019年5月20日</w:t>
      </w:r>
    </w:p>
    <w:p w:rsidR="004457CB" w:rsidRPr="004457CB" w:rsidRDefault="004457CB" w:rsidP="004457CB">
      <w:pPr>
        <w:widowControl/>
        <w:spacing w:before="75" w:after="7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457CB">
        <w:rPr>
          <w:rFonts w:ascii="Arial" w:eastAsia="宋体" w:hAnsi="Arial" w:cs="Arial"/>
          <w:kern w:val="0"/>
          <w:sz w:val="24"/>
          <w:szCs w:val="24"/>
        </w:rPr>
        <w:t> </w:t>
      </w:r>
    </w:p>
    <w:p w:rsidR="004457CB" w:rsidRDefault="004457CB" w:rsidP="004457CB"/>
    <w:sectPr w:rsidR="00445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CA0" w:rsidRDefault="00506CA0" w:rsidP="004D622B">
      <w:r>
        <w:separator/>
      </w:r>
    </w:p>
  </w:endnote>
  <w:endnote w:type="continuationSeparator" w:id="0">
    <w:p w:rsidR="00506CA0" w:rsidRDefault="00506CA0" w:rsidP="004D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CA0" w:rsidRDefault="00506CA0" w:rsidP="004D622B">
      <w:r>
        <w:separator/>
      </w:r>
    </w:p>
  </w:footnote>
  <w:footnote w:type="continuationSeparator" w:id="0">
    <w:p w:rsidR="00506CA0" w:rsidRDefault="00506CA0" w:rsidP="004D6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D0"/>
    <w:rsid w:val="00010548"/>
    <w:rsid w:val="001D73DB"/>
    <w:rsid w:val="003500F6"/>
    <w:rsid w:val="004457CB"/>
    <w:rsid w:val="004D622B"/>
    <w:rsid w:val="00506CA0"/>
    <w:rsid w:val="00522E3D"/>
    <w:rsid w:val="00541D0F"/>
    <w:rsid w:val="00576A14"/>
    <w:rsid w:val="00586944"/>
    <w:rsid w:val="005B6024"/>
    <w:rsid w:val="0069781F"/>
    <w:rsid w:val="006B1E66"/>
    <w:rsid w:val="00855CD0"/>
    <w:rsid w:val="008713A7"/>
    <w:rsid w:val="008A07CA"/>
    <w:rsid w:val="009A4B36"/>
    <w:rsid w:val="00A2070A"/>
    <w:rsid w:val="00A3711A"/>
    <w:rsid w:val="00CB6A89"/>
    <w:rsid w:val="00D7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7C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D6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62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6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62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7C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D6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62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6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62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18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7</cp:revision>
  <dcterms:created xsi:type="dcterms:W3CDTF">2019-05-21T01:08:00Z</dcterms:created>
  <dcterms:modified xsi:type="dcterms:W3CDTF">2019-05-21T03:49:00Z</dcterms:modified>
</cp:coreProperties>
</file>