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关于做好2019年度国家社会科学基金重大项目招标工作的通知</w:t>
      </w:r>
    </w:p>
    <w:p>
      <w:pPr>
        <w:pStyle w:val="2"/>
        <w:keepNext w:val="0"/>
        <w:keepLines w:val="0"/>
        <w:widowControl/>
        <w:suppressLineNumbers w:val="0"/>
        <w:spacing w:line="368" w:lineRule="atLeast"/>
      </w:pPr>
      <w:r>
        <w:rPr>
          <w:rFonts w:hint="eastAsia" w:ascii="宋体" w:hAnsi="宋体" w:eastAsia="宋体" w:cs="宋体"/>
          <w:sz w:val="27"/>
          <w:szCs w:val="27"/>
        </w:rPr>
        <w:t>各相关学院、部门：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2019年度国家社会科学基金重大项目招标工作现已启动，有关事项通知如下：</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一、招标工作总的要求</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高举中国特色社会主义伟大旗帜，以习近平新时代中国特色社会主义思想为指导，深入贯彻落实党的十九大和十九届二中、三中全会精神，贯彻落实《中共中央关于加快构建中国特色哲学社会科学的意见》，坚持解放思想、实事求是、与时俱进、求真务实，发挥国家社科基金示范引导作用，着力深化重大理论和现实问题研究，着力推进中国特色哲学社会科学学科体系、学术体系、话语体系建设，着力推出具有重大学术创新价值、应用对策价值和文化传承意义的标志性研究成果，为党和国家工作大局服务，为繁荣发展哲学社会科学服务。</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二、招标数量和资助强度</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本批重大项目包括基础理论研究、应用对策研究和交叉学科研究，以基础理论研究为主，共发布371个招标选题研究方向，涵盖国家社科基金26个学科领域。每个招标选题原则上只确立1项中标课题。资助强度根据研究的实际需要确定，一般为每项60-80万元。对于研究周期长、经费投入大、带有工程性质的重大选题及大型数据库建设项目，可单独编制经费预算；如获中标，将根据研究进展情况和完成质量，立项两年后经专家评估合格予以滚动资助。</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三、投标资格要求</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（一）投标责任单位须具备下列条件：</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1.在相关研究领域具有较强的科研力量和深厚的学术积累；</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2.设有专门负责科研管理工作的职能部门；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3.能够为开展重大项目研究工作提供良好条件。</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（二）投标者须具备下列条件：</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遵守中华人民共和国宪法和法律，遵守国家社科基金各项管理规定；在相关研究领域具有深厚的学术造诣和丰富的科研经验，社会责任感强，学风优良；具有正高级专业技术职称或厅局级以上（含）领导职务，能够承担实质性研究工作并担负科研组织指导职责；每个投标团队的首席专家只能为一人。</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在研的国家社科基金重大项目、重大研究专项，马克思主义理论研究和建设工程重大项目，国家出版基金项目及其他国家级重大科研项目，教育部哲学社会科学重大攻关项目、教育部人文社会科学重点研究基地重大项目的课题负责人，不能作为首席专家参加本次投标。申请2019年度其他国家级科研重大项目及2020年度教育部哲学社会科学研究重大课题攻关项目的首席专家不能投标国家社科基金重大项目。</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首席专家只能投标一个项目，且不能作为子课题负责人或课题组成员参与本次投标的其他课题。子课题负责人须具有副高级（含）以上职称，在本批次招标中只能参与一个投标课题，课题组成员最多参与两个投标课题。</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四、投标课题要求</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投标者须按选题研究方向（附件1）投标，自选课题不予受理。本次投标须按照新修订的《投标书》（2019年7月制）规定的内容和要求填写申报材料，填报以前版本无效；《投标书》文本要简洁、规范、清晰，不加附件。</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3.投标者要熟知国内外相关领域研究前沿和动态，除必要的学术史梳理外，应着重对同类课题研究状况和他人研究成果做出分析评价，阐明投标选题的价值和意义。</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4.投标者要具备扎实的研究基础和丰富的相关前期研究成果。《投标书》要重点介绍首席专家近年来在相关研究领域的学术积累和学术贡献、同行评价和社会影响等方面情况。</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5.投标者要树立鲜明的问题意识和创新意识，在框架设计、研究思路、主要内容、基本观点、研究方法等方面，体现投标者创新的学术思想、独到的学术见解和可能取得的突破。投标跨学科选题要侧重文理交叉和协同创新，注重采取多学科研究方法和组建跨学科研究团队。</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6.项目完成时间根据研究工作的实际需要确定，一般应在5年左右完成，部分研究任务艰巨、规模较大、周期较长的课题可分期完成，完成时限不作统一规定。</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五、投标纪律要求</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1.投标责任单位和首席专家要加强审核把关，切实把好政治方向关和学术质量关，合格者予以上报。</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3.子课题负责人和课题组成员须征得本人同意，子课题负责人须在《投标书》上签字，否则视为违规申报。如获中标，子课题负责人原则上不得变更。</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4.投标者可提出2名以内建议回避评审专家，全国社科工作办将根据评审工作的实际情况予以考虑。</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六、具体时间安排</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国家社科基金重大项目自2019年起实行网上申报和评审。投标人在网上申报的同时仍需提供纸质版和电子版《投标书》，具体安排如下：</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w:t>
      </w:r>
      <w:r>
        <w:rPr>
          <w:rStyle w:val="5"/>
          <w:rFonts w:hint="eastAsia" w:ascii="宋体" w:hAnsi="宋体" w:eastAsia="宋体" w:cs="宋体"/>
          <w:sz w:val="27"/>
          <w:szCs w:val="27"/>
        </w:rPr>
        <w:t>纸质和电子版材料报送</w:t>
      </w:r>
      <w:r>
        <w:rPr>
          <w:rFonts w:hint="eastAsia" w:ascii="宋体" w:hAnsi="宋体" w:eastAsia="宋体" w:cs="宋体"/>
          <w:sz w:val="27"/>
          <w:szCs w:val="27"/>
        </w:rPr>
        <w:t>：投标人可登录网站（www.npopss-cn.gov.cn）下载《国家社科基金重大项目投标书》及相关材料。纸质版《投标书》（一律用计算机填写、A3纸双面印制中缝装订）一式2份于2019年9月10日前报送至人文社科处，《投标书》电子文本（WORD文件格式）和汇总清单（EXCEL文件格式）发送至skc@yzu.edu.cn，并确保电子数据的真实性、完整性和一致性。个人单独投标不予受理，逾期不予受理。</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w:t>
      </w:r>
      <w:r>
        <w:rPr>
          <w:rStyle w:val="5"/>
          <w:rFonts w:hint="eastAsia" w:ascii="宋体" w:hAnsi="宋体" w:eastAsia="宋体" w:cs="宋体"/>
          <w:sz w:val="27"/>
          <w:szCs w:val="27"/>
        </w:rPr>
        <w:t>网络申报信息填写：</w:t>
      </w:r>
      <w:r>
        <w:rPr>
          <w:rFonts w:hint="eastAsia" w:ascii="宋体" w:hAnsi="宋体" w:eastAsia="宋体" w:cs="宋体"/>
          <w:sz w:val="27"/>
          <w:szCs w:val="27"/>
        </w:rPr>
        <w:t>2019年度国家社科基金重大项目网络申报系统将于8月20日至9月10日开放,在此期间投标人可登陆国家社科基金科研创新服务管理平台(https://xm.npopss-cn.gov.cn), 以实名信息提交注册申请，待责任单位审核后由系统创建账号并发送短信和邮件通知，之后即可登录系统，并按规定要求填写申报信息。逾期系统自动关闭，不再受理申报。</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国家社科基金科研创新服务管理平台主页“项目申报系统”为本次申报的唯一网络平台，网络申报办法及流程管理以该系统为准。有关申报系统及技术问题请咨询技术人员,座机:400-800-1636，电子信箱：support@e-plugger.com。</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3.全国社科工作办对《投标书》进行资格审查，并组织专家对通过资格审查的投标课题进行评审，提出建议中标课题名单。</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4.建议中标课题名单经全国哲学社会科学工作领导小组审批后，在全国社科工作办网站上公示7天。公示期满，对无异议者下达立项通知书。</w:t>
      </w:r>
    </w:p>
    <w:p>
      <w:pPr>
        <w:pStyle w:val="2"/>
        <w:keepNext w:val="0"/>
        <w:keepLines w:val="0"/>
        <w:widowControl/>
        <w:suppressLineNumbers w:val="0"/>
        <w:spacing w:line="368" w:lineRule="atLeast"/>
      </w:pPr>
      <w:r>
        <w:rPr>
          <w:rFonts w:hint="eastAsia" w:ascii="宋体" w:hAnsi="宋体" w:eastAsia="宋体" w:cs="宋体"/>
          <w:sz w:val="27"/>
          <w:szCs w:val="27"/>
        </w:rPr>
        <w:t>    联系人：禹良琴，联系电话：87977071。</w:t>
      </w:r>
    </w:p>
    <w:p>
      <w:pPr>
        <w:pStyle w:val="2"/>
        <w:keepNext w:val="0"/>
        <w:keepLines w:val="0"/>
        <w:widowControl/>
        <w:suppressLineNumbers w:val="0"/>
        <w:spacing w:line="368" w:lineRule="atLeast"/>
      </w:pPr>
      <w:r>
        <w:rPr>
          <w:rFonts w:hint="eastAsia" w:ascii="宋体" w:hAnsi="宋体" w:eastAsia="宋体" w:cs="宋体"/>
          <w:sz w:val="27"/>
          <w:szCs w:val="27"/>
        </w:rPr>
        <w:t> </w:t>
      </w:r>
    </w:p>
    <w:p>
      <w:pPr>
        <w:pStyle w:val="2"/>
        <w:keepNext w:val="0"/>
        <w:keepLines w:val="0"/>
        <w:widowControl/>
        <w:suppressLineNumbers w:val="0"/>
        <w:spacing w:line="368" w:lineRule="atLeast"/>
        <w:ind w:left="0" w:firstLine="5880"/>
      </w:pPr>
      <w:r>
        <w:rPr>
          <w:rFonts w:hint="eastAsia" w:ascii="宋体" w:hAnsi="宋体" w:eastAsia="宋体" w:cs="宋体"/>
          <w:sz w:val="27"/>
          <w:szCs w:val="27"/>
        </w:rPr>
        <w:t>                          人文社科处</w:t>
      </w:r>
    </w:p>
    <w:p>
      <w:pPr>
        <w:pStyle w:val="2"/>
        <w:keepNext w:val="0"/>
        <w:keepLines w:val="0"/>
        <w:widowControl/>
        <w:suppressLineNumbers w:val="0"/>
        <w:spacing w:line="368" w:lineRule="atLeast"/>
        <w:ind w:left="0" w:firstLine="5595"/>
      </w:pPr>
      <w:r>
        <w:rPr>
          <w:rFonts w:hint="eastAsia" w:ascii="宋体" w:hAnsi="宋体" w:eastAsia="宋体" w:cs="宋体"/>
          <w:sz w:val="27"/>
          <w:szCs w:val="27"/>
        </w:rPr>
        <w:t>                           2019年7月16日</w:t>
      </w:r>
    </w:p>
    <w:p>
      <w:pPr>
        <w:rPr>
          <w:rFonts w:hint="eastAsia" w:ascii="宋体" w:hAnsi="宋体" w:eastAsia="宋体" w:cs="宋体"/>
          <w:color w:val="3C3C3C"/>
          <w:sz w:val="33"/>
          <w:szCs w:val="33"/>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346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C3C3C"/>
      <w:u w:val="none"/>
    </w:rPr>
  </w:style>
  <w:style w:type="character" w:styleId="7">
    <w:name w:val="Hyperlink"/>
    <w:basedOn w:val="4"/>
    <w:uiPriority w:val="0"/>
    <w:rPr>
      <w:color w:val="3C3C3C"/>
      <w:u w:val="none"/>
    </w:rPr>
  </w:style>
  <w:style w:type="character" w:customStyle="1" w:styleId="8">
    <w:name w:val="ui-icon"/>
    <w:basedOn w:val="4"/>
    <w:uiPriority w:val="0"/>
  </w:style>
  <w:style w:type="character" w:customStyle="1" w:styleId="9">
    <w:name w:val="edui-unclickable"/>
    <w:basedOn w:val="4"/>
    <w:uiPriority w:val="0"/>
    <w:rPr>
      <w:color w:val="808080"/>
    </w:rPr>
  </w:style>
  <w:style w:type="character" w:customStyle="1" w:styleId="10">
    <w:name w:val="post-date"/>
    <w:basedOn w:val="4"/>
    <w:uiPriority w:val="0"/>
    <w:rPr>
      <w:color w:val="555555"/>
      <w:sz w:val="16"/>
      <w:szCs w:val="16"/>
    </w:rPr>
  </w:style>
  <w:style w:type="character" w:customStyle="1" w:styleId="11">
    <w:name w:val="edui-clickable2"/>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2019-08-12T08:55:20Z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